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F9B4" w14:textId="7645915A" w:rsidR="000E7016" w:rsidRPr="00616ED5" w:rsidRDefault="00731219" w:rsidP="0005344B">
      <w:pPr>
        <w:spacing w:after="120" w:line="276" w:lineRule="auto"/>
        <w:jc w:val="center"/>
        <w:rPr>
          <w:rFonts w:ascii="Arial" w:hAnsi="Arial" w:cs="Arial"/>
        </w:rPr>
      </w:pPr>
      <w:r w:rsidRPr="00616ED5">
        <w:rPr>
          <w:rFonts w:ascii="Arial" w:hAnsi="Arial" w:cs="Arial"/>
          <w:noProof/>
        </w:rPr>
        <w:drawing>
          <wp:inline distT="0" distB="0" distL="0" distR="0" wp14:anchorId="2551D858" wp14:editId="51A401C6">
            <wp:extent cx="6608445" cy="1329563"/>
            <wp:effectExtent l="0" t="0" r="1905" b="444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96" cy="133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8FFEB" w14:textId="014F8B61" w:rsidR="00731219" w:rsidRPr="00616ED5" w:rsidRDefault="00241FD1" w:rsidP="0005344B">
      <w:pPr>
        <w:pStyle w:val="Title"/>
        <w:spacing w:after="120" w:line="276" w:lineRule="auto"/>
        <w:contextualSpacing w:val="0"/>
        <w:rPr>
          <w:rFonts w:ascii="Arial" w:hAnsi="Arial" w:cs="Arial"/>
          <w:color w:val="7A003C"/>
          <w:sz w:val="48"/>
          <w:szCs w:val="48"/>
        </w:rPr>
      </w:pPr>
      <w:r w:rsidRPr="00616ED5">
        <w:rPr>
          <w:rFonts w:ascii="Arial" w:hAnsi="Arial" w:cs="Arial"/>
          <w:color w:val="7A003C"/>
          <w:sz w:val="48"/>
          <w:szCs w:val="48"/>
        </w:rPr>
        <w:t>Assessing Reflection</w:t>
      </w:r>
      <w:r w:rsidR="001D6F2C" w:rsidRPr="00616ED5">
        <w:rPr>
          <w:rFonts w:ascii="Arial" w:hAnsi="Arial" w:cs="Arial"/>
          <w:color w:val="7A003C"/>
          <w:sz w:val="48"/>
          <w:szCs w:val="48"/>
        </w:rPr>
        <w:t xml:space="preserve"> Using </w:t>
      </w:r>
      <w:r w:rsidRPr="00616ED5">
        <w:rPr>
          <w:rFonts w:ascii="Arial" w:hAnsi="Arial" w:cs="Arial"/>
          <w:color w:val="7A003C"/>
          <w:sz w:val="48"/>
          <w:szCs w:val="48"/>
        </w:rPr>
        <w:t xml:space="preserve">Rubrics </w:t>
      </w:r>
    </w:p>
    <w:p w14:paraId="6BC2FD7D" w14:textId="39A99351" w:rsidR="0047444C" w:rsidRPr="00616ED5" w:rsidRDefault="004E4818" w:rsidP="0005344B">
      <w:pPr>
        <w:spacing w:after="120" w:line="276" w:lineRule="auto"/>
        <w:rPr>
          <w:rFonts w:ascii="Arial" w:hAnsi="Arial" w:cs="Arial"/>
          <w:smallCaps/>
        </w:rPr>
      </w:pPr>
      <w:r w:rsidRPr="00616ED5">
        <w:rPr>
          <w:rStyle w:val="SubtleReference"/>
          <w:rFonts w:ascii="Arial" w:hAnsi="Arial" w:cs="Arial"/>
          <w:color w:val="auto"/>
        </w:rPr>
        <w:t>Sarah Whitwell, Experiential Programming and Outreach Manager</w:t>
      </w:r>
      <w:r w:rsidR="007B272F" w:rsidRPr="00616ED5">
        <w:rPr>
          <w:rStyle w:val="SubtleReference"/>
          <w:rFonts w:ascii="Arial" w:hAnsi="Arial" w:cs="Arial"/>
          <w:color w:val="auto"/>
        </w:rPr>
        <w:t xml:space="preserve"> (</w:t>
      </w:r>
      <w:hyperlink r:id="rId6" w:history="1">
        <w:r w:rsidR="007B272F" w:rsidRPr="00616ED5">
          <w:rPr>
            <w:rStyle w:val="SubtleReference"/>
            <w:rFonts w:ascii="Arial" w:hAnsi="Arial" w:cs="Arial"/>
            <w:color w:val="0070C0"/>
          </w:rPr>
          <w:t>whitwese@mcmaster.ca</w:t>
        </w:r>
      </w:hyperlink>
      <w:r w:rsidR="007B272F" w:rsidRPr="00616ED5">
        <w:rPr>
          <w:rStyle w:val="SubtleReference"/>
          <w:rFonts w:ascii="Arial" w:hAnsi="Arial" w:cs="Arial"/>
          <w:color w:val="auto"/>
        </w:rPr>
        <w:t xml:space="preserve">) </w:t>
      </w:r>
    </w:p>
    <w:p w14:paraId="45E0AC7C" w14:textId="51A19878" w:rsidR="001C486B" w:rsidRPr="00616ED5" w:rsidRDefault="004C0230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Assessing reflection is key because it signals to students the importance of experiential learning and the value of thinking </w:t>
      </w:r>
      <w:r w:rsidR="00246237" w:rsidRPr="00616ED5">
        <w:rPr>
          <w:rFonts w:ascii="Arial" w:hAnsi="Arial" w:cs="Arial"/>
        </w:rPr>
        <w:t xml:space="preserve">about how they acquire knowledge. Assessing reflection also provides an </w:t>
      </w:r>
      <w:r w:rsidR="0003148A" w:rsidRPr="00616ED5">
        <w:rPr>
          <w:rFonts w:ascii="Arial" w:hAnsi="Arial" w:cs="Arial"/>
        </w:rPr>
        <w:t xml:space="preserve">opportunity for </w:t>
      </w:r>
      <w:r w:rsidR="009052AF">
        <w:rPr>
          <w:rFonts w:ascii="Arial" w:hAnsi="Arial" w:cs="Arial"/>
        </w:rPr>
        <w:t>the instructor</w:t>
      </w:r>
      <w:r w:rsidR="0003148A" w:rsidRPr="00616ED5">
        <w:rPr>
          <w:rFonts w:ascii="Arial" w:hAnsi="Arial" w:cs="Arial"/>
        </w:rPr>
        <w:t xml:space="preserve"> to provide feedback, </w:t>
      </w:r>
      <w:r w:rsidR="0087217E" w:rsidRPr="00616ED5">
        <w:rPr>
          <w:rFonts w:ascii="Arial" w:hAnsi="Arial" w:cs="Arial"/>
        </w:rPr>
        <w:t xml:space="preserve">spot gaps in knowledge, and address common problems quickly and efficiently. </w:t>
      </w:r>
    </w:p>
    <w:p w14:paraId="3C2AFA20" w14:textId="5F7FE5DC" w:rsidR="00241FD1" w:rsidRPr="00616ED5" w:rsidRDefault="007939E7" w:rsidP="0005344B">
      <w:pPr>
        <w:pStyle w:val="Heading1"/>
        <w:spacing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 xml:space="preserve">Benefits of Using a Rubric (For Students) </w:t>
      </w:r>
    </w:p>
    <w:p w14:paraId="48A21172" w14:textId="06CB9FB1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>Clarifies expectations</w:t>
      </w:r>
    </w:p>
    <w:p w14:paraId="4CB9F3EF" w14:textId="68FCE5D9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>Provides a goal to work towards</w:t>
      </w:r>
    </w:p>
    <w:p w14:paraId="490AA1E1" w14:textId="32C2970E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Articulates all components of the work </w:t>
      </w:r>
    </w:p>
    <w:p w14:paraId="6E29C06F" w14:textId="73181F2A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Gives guidance for improvement </w:t>
      </w:r>
    </w:p>
    <w:p w14:paraId="7F707BE0" w14:textId="04787049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>Provides a rationale for grades achieved</w:t>
      </w:r>
    </w:p>
    <w:p w14:paraId="1B786648" w14:textId="60C557C6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Articulates alignment between an assessment and intended </w:t>
      </w:r>
      <w:r w:rsidR="0079149C" w:rsidRPr="00616ED5">
        <w:rPr>
          <w:rFonts w:ascii="Arial" w:hAnsi="Arial" w:cs="Arial"/>
          <w:sz w:val="24"/>
          <w:szCs w:val="24"/>
        </w:rPr>
        <w:t>learning</w:t>
      </w:r>
      <w:r w:rsidRPr="00616ED5">
        <w:rPr>
          <w:rFonts w:ascii="Arial" w:hAnsi="Arial" w:cs="Arial"/>
          <w:sz w:val="24"/>
          <w:szCs w:val="24"/>
        </w:rPr>
        <w:t xml:space="preserve"> outcomes for a course </w:t>
      </w:r>
    </w:p>
    <w:p w14:paraId="7A56B8C9" w14:textId="0DC53CDF" w:rsidR="001B67D7" w:rsidRPr="00616ED5" w:rsidRDefault="001B67D7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Encourages self-assessment </w:t>
      </w:r>
      <w:r w:rsidR="0079149C" w:rsidRPr="00616ED5">
        <w:rPr>
          <w:rFonts w:ascii="Arial" w:hAnsi="Arial" w:cs="Arial"/>
          <w:sz w:val="24"/>
          <w:szCs w:val="24"/>
        </w:rPr>
        <w:t xml:space="preserve">and reflection on learning </w:t>
      </w:r>
    </w:p>
    <w:p w14:paraId="62BCE6BD" w14:textId="253A82BD" w:rsidR="0079149C" w:rsidRPr="00616ED5" w:rsidRDefault="0079149C" w:rsidP="0005344B">
      <w:pPr>
        <w:pStyle w:val="Heading1"/>
        <w:spacing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 xml:space="preserve">Benefits of Using a Rubric (For Instructors) </w:t>
      </w:r>
    </w:p>
    <w:p w14:paraId="50B6435B" w14:textId="69660EE8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Minimizes miscommunications regarding assessment expectations </w:t>
      </w:r>
    </w:p>
    <w:p w14:paraId="0B56C595" w14:textId="63309338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>Leads to more focused work from students</w:t>
      </w:r>
    </w:p>
    <w:p w14:paraId="598CC673" w14:textId="092D5EF3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Aids in consistent grading, especially in course with multiple markers </w:t>
      </w:r>
    </w:p>
    <w:p w14:paraId="2CA04F25" w14:textId="40776D99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Allows for more efficient grading </w:t>
      </w:r>
    </w:p>
    <w:p w14:paraId="4B0A33A5" w14:textId="481728A8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Creates more space for substantive comments </w:t>
      </w:r>
    </w:p>
    <w:p w14:paraId="3B7F97DD" w14:textId="10F53DF3" w:rsidR="0079149C" w:rsidRPr="00616ED5" w:rsidRDefault="0079149C" w:rsidP="0005344B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16ED5">
        <w:rPr>
          <w:rFonts w:ascii="Arial" w:hAnsi="Arial" w:cs="Arial"/>
          <w:sz w:val="24"/>
          <w:szCs w:val="24"/>
        </w:rPr>
        <w:t xml:space="preserve">Results in fewer meetings with s students to explain grades achieved </w:t>
      </w:r>
    </w:p>
    <w:p w14:paraId="4BEC0B8F" w14:textId="3454ADEC" w:rsidR="00E71FA0" w:rsidRPr="00616ED5" w:rsidRDefault="00AF1250" w:rsidP="0005344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 xml:space="preserve">Types of Rubrics </w:t>
      </w:r>
    </w:p>
    <w:p w14:paraId="4F3F7D82" w14:textId="5FB34167" w:rsidR="00AF1250" w:rsidRPr="00616ED5" w:rsidRDefault="00945EB5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There are different types of rubrics </w:t>
      </w:r>
      <w:r w:rsidR="009052AF">
        <w:rPr>
          <w:rFonts w:ascii="Arial" w:hAnsi="Arial" w:cs="Arial"/>
        </w:rPr>
        <w:t xml:space="preserve">that can be used to assess student work. The two most commonly used types are </w:t>
      </w:r>
      <w:r w:rsidR="00E36E5A" w:rsidRPr="00616ED5">
        <w:rPr>
          <w:rFonts w:ascii="Arial" w:hAnsi="Arial" w:cs="Arial"/>
        </w:rPr>
        <w:t>holistic and analytic. Each has its own strengths and weaknesses.</w:t>
      </w:r>
    </w:p>
    <w:p w14:paraId="73068692" w14:textId="6F9ED156" w:rsidR="00E36E5A" w:rsidRPr="00616ED5" w:rsidRDefault="00E36E5A" w:rsidP="0005344B">
      <w:pPr>
        <w:pStyle w:val="Heading2"/>
        <w:spacing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lastRenderedPageBreak/>
        <w:t>Holistic Rubrics</w:t>
      </w:r>
    </w:p>
    <w:p w14:paraId="3AD1CF2C" w14:textId="2E71F9F8" w:rsidR="00E36E5A" w:rsidRPr="00616ED5" w:rsidRDefault="00E36E5A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Holistic rubrics evaluate the overall equality of an assessment. They are quick, efficient, </w:t>
      </w:r>
      <w:r w:rsidR="00602736" w:rsidRPr="00616ED5">
        <w:rPr>
          <w:rFonts w:ascii="Arial" w:hAnsi="Arial" w:cs="Arial"/>
        </w:rPr>
        <w:t xml:space="preserve">and fair. </w:t>
      </w:r>
      <w:r w:rsidR="00BA75F0" w:rsidRPr="00616ED5">
        <w:rPr>
          <w:rFonts w:ascii="Arial" w:hAnsi="Arial" w:cs="Arial"/>
        </w:rPr>
        <w:t>When using a holistic rubric, several different assessment criteria are group</w:t>
      </w:r>
      <w:r w:rsidR="009E3C0C" w:rsidRPr="00616ED5">
        <w:rPr>
          <w:rFonts w:ascii="Arial" w:hAnsi="Arial" w:cs="Arial"/>
        </w:rPr>
        <w:t>ed</w:t>
      </w:r>
      <w:r w:rsidR="00BA75F0" w:rsidRPr="00616ED5">
        <w:rPr>
          <w:rFonts w:ascii="Arial" w:hAnsi="Arial" w:cs="Arial"/>
        </w:rPr>
        <w:t xml:space="preserve"> together under grade headings or achievement levels. </w:t>
      </w:r>
    </w:p>
    <w:p w14:paraId="658F77E2" w14:textId="4A94A103" w:rsidR="003F5914" w:rsidRPr="00616ED5" w:rsidRDefault="003F5914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Holistic rubrics are ideal for evaluating higher-order thinking where students might present a variety of responses. </w:t>
      </w:r>
      <w:r w:rsidR="0071370E" w:rsidRPr="00616ED5">
        <w:rPr>
          <w:rFonts w:ascii="Arial" w:hAnsi="Arial" w:cs="Arial"/>
        </w:rPr>
        <w:t xml:space="preserve">Holistic rubrics generally serve better as summative feedback, rather than formative feedback, because they </w:t>
      </w:r>
      <w:r w:rsidR="0061787F" w:rsidRPr="00616ED5">
        <w:rPr>
          <w:rFonts w:ascii="Arial" w:hAnsi="Arial" w:cs="Arial"/>
        </w:rPr>
        <w:t xml:space="preserve">do not explicitly address specific components of an assignment. </w:t>
      </w:r>
    </w:p>
    <w:tbl>
      <w:tblPr>
        <w:tblW w:w="10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9280"/>
      </w:tblGrid>
      <w:tr w:rsidR="00607368" w:rsidRPr="00607368" w14:paraId="411B8A40" w14:textId="77777777" w:rsidTr="00607368">
        <w:trPr>
          <w:trHeight w:val="45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C0FC7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b/>
                <w:bCs/>
                <w:lang w:val="en-US"/>
              </w:rPr>
              <w:t>Score</w:t>
            </w:r>
          </w:p>
        </w:tc>
        <w:tc>
          <w:tcPr>
            <w:tcW w:w="9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60E32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b/>
                <w:bCs/>
                <w:lang w:val="en-US"/>
              </w:rPr>
              <w:t xml:space="preserve">Criteria </w:t>
            </w:r>
          </w:p>
        </w:tc>
      </w:tr>
      <w:tr w:rsidR="00607368" w:rsidRPr="00607368" w14:paraId="1BDC4611" w14:textId="77777777" w:rsidTr="00607368">
        <w:trPr>
          <w:trHeight w:val="459"/>
        </w:trPr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39D47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lang w:val="en-US"/>
              </w:rPr>
              <w:t>4 (80-100%)</w:t>
            </w:r>
          </w:p>
        </w:tc>
        <w:tc>
          <w:tcPr>
            <w:tcW w:w="9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59971" w14:textId="088876F9" w:rsidR="00607368" w:rsidRPr="00607368" w:rsidRDefault="00B279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Essay</w:t>
            </w:r>
            <w:r w:rsidR="00607368" w:rsidRPr="00607368">
              <w:rPr>
                <w:rFonts w:ascii="Arial" w:hAnsi="Arial" w:cs="Arial"/>
              </w:rPr>
              <w:t xml:space="preserve"> demonstrates complete understanding and execution of the assigned objectives. Thesis statement is clearly stated, complex and original</w:t>
            </w:r>
            <w:r w:rsidR="00572C9C" w:rsidRPr="00616ED5">
              <w:rPr>
                <w:rFonts w:ascii="Arial" w:hAnsi="Arial" w:cs="Arial"/>
              </w:rPr>
              <w:t>. T</w:t>
            </w:r>
            <w:r w:rsidR="00607368" w:rsidRPr="00607368">
              <w:rPr>
                <w:rFonts w:ascii="Arial" w:hAnsi="Arial" w:cs="Arial"/>
              </w:rPr>
              <w:t>he writing does not spend excessive time on any one point of development at the expense of developing other points in the body of the paper. Writing is also error-free</w:t>
            </w:r>
            <w:r w:rsidR="00572C9C" w:rsidRPr="00616ED5">
              <w:rPr>
                <w:rFonts w:ascii="Arial" w:hAnsi="Arial" w:cs="Arial"/>
              </w:rPr>
              <w:t xml:space="preserve"> and reads smoothly.</w:t>
            </w:r>
          </w:p>
        </w:tc>
      </w:tr>
      <w:tr w:rsidR="00607368" w:rsidRPr="00607368" w14:paraId="04F590A7" w14:textId="77777777" w:rsidTr="00607368">
        <w:trPr>
          <w:trHeight w:val="45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8AEA0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lang w:val="en-US"/>
              </w:rPr>
              <w:t>3 (70-79%)</w:t>
            </w:r>
          </w:p>
        </w:tc>
        <w:tc>
          <w:tcPr>
            <w:tcW w:w="9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00FA8" w14:textId="55A59B06" w:rsidR="00607368" w:rsidRPr="00607368" w:rsidRDefault="00B279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Essay</w:t>
            </w:r>
            <w:r w:rsidR="00607368" w:rsidRPr="00607368">
              <w:rPr>
                <w:rFonts w:ascii="Arial" w:hAnsi="Arial" w:cs="Arial"/>
              </w:rPr>
              <w:t xml:space="preserve"> demonstrates considerable understanding and execution of the assigned objectives. Thesis </w:t>
            </w:r>
            <w:r w:rsidR="00572C9C" w:rsidRPr="00616ED5">
              <w:rPr>
                <w:rFonts w:ascii="Arial" w:hAnsi="Arial" w:cs="Arial"/>
              </w:rPr>
              <w:t>statement is</w:t>
            </w:r>
            <w:r w:rsidR="00607368" w:rsidRPr="00607368">
              <w:rPr>
                <w:rFonts w:ascii="Arial" w:hAnsi="Arial" w:cs="Arial"/>
              </w:rPr>
              <w:t xml:space="preserve"> stated, </w:t>
            </w:r>
            <w:r w:rsidR="001A19DB" w:rsidRPr="00616ED5">
              <w:rPr>
                <w:rFonts w:ascii="Arial" w:hAnsi="Arial" w:cs="Arial"/>
              </w:rPr>
              <w:t>somewhat</w:t>
            </w:r>
            <w:r w:rsidR="00607368" w:rsidRPr="00607368">
              <w:rPr>
                <w:rFonts w:ascii="Arial" w:hAnsi="Arial" w:cs="Arial"/>
              </w:rPr>
              <w:t xml:space="preserve"> complex</w:t>
            </w:r>
            <w:r w:rsidR="001A19DB" w:rsidRPr="00616ED5">
              <w:rPr>
                <w:rFonts w:ascii="Arial" w:hAnsi="Arial" w:cs="Arial"/>
              </w:rPr>
              <w:t>,</w:t>
            </w:r>
            <w:r w:rsidR="00607368" w:rsidRPr="00607368">
              <w:rPr>
                <w:rFonts w:ascii="Arial" w:hAnsi="Arial" w:cs="Arial"/>
              </w:rPr>
              <w:t xml:space="preserve"> and original</w:t>
            </w:r>
            <w:r w:rsidR="001A19DB" w:rsidRPr="00616ED5">
              <w:rPr>
                <w:rFonts w:ascii="Arial" w:hAnsi="Arial" w:cs="Arial"/>
              </w:rPr>
              <w:t xml:space="preserve">. The </w:t>
            </w:r>
            <w:r w:rsidR="00607368" w:rsidRPr="00607368">
              <w:rPr>
                <w:rFonts w:ascii="Arial" w:hAnsi="Arial" w:cs="Arial"/>
              </w:rPr>
              <w:t>writing shows accuracy and balance in developing body points but may exhibit occasional we</w:t>
            </w:r>
            <w:r w:rsidR="00FD54B2" w:rsidRPr="00616ED5">
              <w:rPr>
                <w:rFonts w:ascii="Arial" w:hAnsi="Arial" w:cs="Arial"/>
              </w:rPr>
              <w:t>aknesses</w:t>
            </w:r>
            <w:r w:rsidR="00607368" w:rsidRPr="00607368">
              <w:rPr>
                <w:rFonts w:ascii="Arial" w:hAnsi="Arial" w:cs="Arial"/>
              </w:rPr>
              <w:t xml:space="preserve">. Writing also has some errors </w:t>
            </w:r>
            <w:r w:rsidR="00174E5E">
              <w:rPr>
                <w:rFonts w:ascii="Arial" w:hAnsi="Arial" w:cs="Arial"/>
              </w:rPr>
              <w:t>that do not impact readability</w:t>
            </w:r>
            <w:r w:rsidR="00607368" w:rsidRPr="00607368">
              <w:rPr>
                <w:rFonts w:ascii="Arial" w:hAnsi="Arial" w:cs="Arial"/>
              </w:rPr>
              <w:t>.</w:t>
            </w:r>
          </w:p>
        </w:tc>
      </w:tr>
      <w:tr w:rsidR="00607368" w:rsidRPr="00607368" w14:paraId="75E17C7C" w14:textId="77777777" w:rsidTr="00607368">
        <w:trPr>
          <w:trHeight w:val="45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B0A71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lang w:val="en-US"/>
              </w:rPr>
              <w:t>2 (60-69%)</w:t>
            </w:r>
          </w:p>
        </w:tc>
        <w:tc>
          <w:tcPr>
            <w:tcW w:w="9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C7E99" w14:textId="38EA944A" w:rsidR="00607368" w:rsidRPr="00607368" w:rsidRDefault="00B279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Essay</w:t>
            </w:r>
            <w:r w:rsidR="00607368" w:rsidRPr="00607368">
              <w:rPr>
                <w:rFonts w:ascii="Arial" w:hAnsi="Arial" w:cs="Arial"/>
              </w:rPr>
              <w:t xml:space="preserve"> demonstrates some understanding and execution of the assigned objectives. Thesis statement is faintly stated and/or </w:t>
            </w:r>
            <w:r w:rsidR="00FD54B2" w:rsidRPr="00616ED5">
              <w:rPr>
                <w:rFonts w:ascii="Arial" w:hAnsi="Arial" w:cs="Arial"/>
              </w:rPr>
              <w:t>unoriginal. T</w:t>
            </w:r>
            <w:r w:rsidR="00607368" w:rsidRPr="00607368">
              <w:rPr>
                <w:rFonts w:ascii="Arial" w:hAnsi="Arial" w:cs="Arial"/>
              </w:rPr>
              <w:t>he writing is inconsistent in terms of balance in developing body points and exhibits</w:t>
            </w:r>
            <w:r w:rsidR="00FD54B2" w:rsidRPr="00616ED5">
              <w:rPr>
                <w:rFonts w:ascii="Arial" w:hAnsi="Arial" w:cs="Arial"/>
              </w:rPr>
              <w:t xml:space="preserve"> frequent </w:t>
            </w:r>
            <w:r w:rsidR="00607368" w:rsidRPr="00607368">
              <w:rPr>
                <w:rFonts w:ascii="Arial" w:hAnsi="Arial" w:cs="Arial"/>
              </w:rPr>
              <w:t xml:space="preserve">weaknesses. Writing also has many errors and </w:t>
            </w:r>
            <w:r w:rsidR="00174E5E">
              <w:rPr>
                <w:rFonts w:ascii="Arial" w:hAnsi="Arial" w:cs="Arial"/>
              </w:rPr>
              <w:t>that</w:t>
            </w:r>
            <w:r w:rsidR="00607368" w:rsidRPr="00607368">
              <w:rPr>
                <w:rFonts w:ascii="Arial" w:hAnsi="Arial" w:cs="Arial"/>
              </w:rPr>
              <w:t xml:space="preserve"> may </w:t>
            </w:r>
            <w:r w:rsidR="00FD54B2" w:rsidRPr="00616ED5">
              <w:rPr>
                <w:rFonts w:ascii="Arial" w:hAnsi="Arial" w:cs="Arial"/>
              </w:rPr>
              <w:t>impact readability.</w:t>
            </w:r>
          </w:p>
        </w:tc>
      </w:tr>
      <w:tr w:rsidR="00607368" w:rsidRPr="00607368" w14:paraId="10B690E3" w14:textId="77777777" w:rsidTr="00607368">
        <w:trPr>
          <w:trHeight w:val="45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19722" w14:textId="77777777" w:rsidR="00607368" w:rsidRPr="00607368" w:rsidRDefault="006073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07368">
              <w:rPr>
                <w:rFonts w:ascii="Arial" w:hAnsi="Arial" w:cs="Arial"/>
                <w:lang w:val="en-US"/>
              </w:rPr>
              <w:t>1 (50-59%)</w:t>
            </w:r>
          </w:p>
        </w:tc>
        <w:tc>
          <w:tcPr>
            <w:tcW w:w="9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FD762" w14:textId="4FF42D0D" w:rsidR="00607368" w:rsidRPr="00607368" w:rsidRDefault="00B279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Essay</w:t>
            </w:r>
            <w:r w:rsidR="00607368" w:rsidRPr="00607368">
              <w:rPr>
                <w:rFonts w:ascii="Arial" w:hAnsi="Arial" w:cs="Arial"/>
              </w:rPr>
              <w:t xml:space="preserve"> demonstrates limited understanding and execution of the assigned objectives. Thesis statement is simplistic, unoriginal, and/or not present at all</w:t>
            </w:r>
            <w:r w:rsidRPr="00616ED5">
              <w:rPr>
                <w:rFonts w:ascii="Arial" w:hAnsi="Arial" w:cs="Arial"/>
              </w:rPr>
              <w:t>. T</w:t>
            </w:r>
            <w:r w:rsidR="00607368" w:rsidRPr="00607368">
              <w:rPr>
                <w:rFonts w:ascii="Arial" w:hAnsi="Arial" w:cs="Arial"/>
              </w:rPr>
              <w:t>he writing is unbalanced in developing body points</w:t>
            </w:r>
            <w:r w:rsidR="00FD54B2" w:rsidRPr="00616ED5">
              <w:rPr>
                <w:rFonts w:ascii="Arial" w:hAnsi="Arial" w:cs="Arial"/>
              </w:rPr>
              <w:t xml:space="preserve"> which are weak and/or incomplete</w:t>
            </w:r>
            <w:r w:rsidR="00607368" w:rsidRPr="00607368">
              <w:rPr>
                <w:rFonts w:ascii="Arial" w:hAnsi="Arial" w:cs="Arial"/>
              </w:rPr>
              <w:t xml:space="preserve">. Writing also has numerous errors </w:t>
            </w:r>
            <w:r w:rsidRPr="00616ED5">
              <w:rPr>
                <w:rFonts w:ascii="Arial" w:hAnsi="Arial" w:cs="Arial"/>
              </w:rPr>
              <w:t xml:space="preserve">that negatively impact readability. </w:t>
            </w:r>
          </w:p>
        </w:tc>
      </w:tr>
    </w:tbl>
    <w:p w14:paraId="319FF3FF" w14:textId="710301D1" w:rsidR="00945EB5" w:rsidRPr="00616ED5" w:rsidRDefault="00365D37" w:rsidP="0005344B">
      <w:pPr>
        <w:pStyle w:val="Heading2"/>
        <w:spacing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 xml:space="preserve">Analytic Rubrics </w:t>
      </w:r>
    </w:p>
    <w:p w14:paraId="38049D54" w14:textId="4978D834" w:rsidR="008F7AF5" w:rsidRPr="008F7AF5" w:rsidRDefault="00365D37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Analytic rubrics </w:t>
      </w:r>
      <w:r w:rsidR="004D5011" w:rsidRPr="00616ED5">
        <w:rPr>
          <w:rFonts w:ascii="Arial" w:hAnsi="Arial" w:cs="Arial"/>
        </w:rPr>
        <w:t xml:space="preserve">evaluate individual components of an assessment. </w:t>
      </w:r>
      <w:r w:rsidR="008F7AF5" w:rsidRPr="00616ED5">
        <w:rPr>
          <w:rFonts w:ascii="Arial" w:hAnsi="Arial" w:cs="Arial"/>
        </w:rPr>
        <w:t xml:space="preserve">They include a set of criteria on the left side of a grid with levels of performance along the top. Typically, the corresponding cells include a description of each criterion at each level of performance. </w:t>
      </w:r>
      <w:r w:rsidR="008D5FCA" w:rsidRPr="00616ED5">
        <w:rPr>
          <w:rFonts w:ascii="Arial" w:hAnsi="Arial" w:cs="Arial"/>
        </w:rPr>
        <w:t xml:space="preserve"> </w:t>
      </w:r>
      <w:r w:rsidR="008F7AF5" w:rsidRPr="008F7AF5">
        <w:rPr>
          <w:rFonts w:ascii="Arial" w:hAnsi="Arial" w:cs="Arial"/>
        </w:rPr>
        <w:t xml:space="preserve">When grading assignments, </w:t>
      </w:r>
      <w:r w:rsidR="00216190">
        <w:rPr>
          <w:rFonts w:ascii="Arial" w:hAnsi="Arial" w:cs="Arial"/>
        </w:rPr>
        <w:t>the marker checks</w:t>
      </w:r>
      <w:r w:rsidR="008F7AF5" w:rsidRPr="008F7AF5">
        <w:rPr>
          <w:rFonts w:ascii="Arial" w:hAnsi="Arial" w:cs="Arial"/>
        </w:rPr>
        <w:t xml:space="preserve"> off each of the appropriate criteria and may choose to include brief written comments below. Analytic rubrics can effectively provide specific feedback that highlights</w:t>
      </w:r>
      <w:r w:rsidR="008F7AF5" w:rsidRPr="00616ED5">
        <w:rPr>
          <w:rFonts w:ascii="Arial" w:hAnsi="Arial" w:cs="Arial"/>
        </w:rPr>
        <w:t xml:space="preserve"> both</w:t>
      </w:r>
      <w:r w:rsidR="008F7AF5" w:rsidRPr="008F7AF5">
        <w:rPr>
          <w:rFonts w:ascii="Arial" w:hAnsi="Arial" w:cs="Arial"/>
        </w:rPr>
        <w:t xml:space="preserve"> strengths and struggles. </w:t>
      </w:r>
    </w:p>
    <w:p w14:paraId="2414766F" w14:textId="10A20BE3" w:rsidR="008F7AF5" w:rsidRPr="00616ED5" w:rsidRDefault="008F7AF5" w:rsidP="0005344B">
      <w:pPr>
        <w:spacing w:after="120" w:line="276" w:lineRule="auto"/>
        <w:rPr>
          <w:rFonts w:ascii="Arial" w:hAnsi="Arial" w:cs="Arial"/>
        </w:rPr>
      </w:pPr>
      <w:r w:rsidRPr="008F7AF5">
        <w:rPr>
          <w:rFonts w:ascii="Arial" w:hAnsi="Arial" w:cs="Arial"/>
        </w:rPr>
        <w:t>The drawbacks of an analytic rubric include the time needed to develop the rubrics, specifically the time and thought that is required to write well-defined and clear criterion. This time is arguably well-spent as the goals and outcomes of the assignment will be explicit for both instructor and student. In the long term, analytical rubrics are a time saver – time invested into their development is quickly paid off during the marking process.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6"/>
        <w:gridCol w:w="2016"/>
        <w:gridCol w:w="2016"/>
        <w:gridCol w:w="2016"/>
        <w:gridCol w:w="2132"/>
      </w:tblGrid>
      <w:tr w:rsidR="00A86FEE" w:rsidRPr="00A86FEE" w14:paraId="7DCC20CB" w14:textId="77777777" w:rsidTr="00B2791B">
        <w:trPr>
          <w:trHeight w:val="584"/>
        </w:trPr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3E412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14A45" w14:textId="628B558B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b/>
                <w:bCs/>
                <w:lang w:val="en-US"/>
              </w:rPr>
              <w:t xml:space="preserve">Adequate </w:t>
            </w:r>
            <w:r w:rsidR="002A2D5A">
              <w:rPr>
                <w:rFonts w:ascii="Arial" w:hAnsi="Arial" w:cs="Arial"/>
                <w:b/>
                <w:bCs/>
                <w:lang w:val="en-US"/>
              </w:rPr>
              <w:t xml:space="preserve">  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(50-59%)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B410F" w14:textId="6BE8FD8A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b/>
                <w:bCs/>
                <w:lang w:val="en-US"/>
              </w:rPr>
              <w:t xml:space="preserve">Competent </w:t>
            </w:r>
            <w:r w:rsidR="00E1415A"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(60-69%)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BD05D" w14:textId="1BDA62E2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b/>
                <w:bCs/>
                <w:lang w:val="en-US"/>
              </w:rPr>
              <w:t xml:space="preserve">Good </w:t>
            </w:r>
            <w:r w:rsidR="00E1415A">
              <w:rPr>
                <w:rFonts w:ascii="Arial" w:hAnsi="Arial" w:cs="Arial"/>
                <w:b/>
                <w:bCs/>
                <w:lang w:val="en-US"/>
              </w:rPr>
              <w:t xml:space="preserve">         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(70-79%)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559A1" w14:textId="3DBD36EE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b/>
                <w:bCs/>
                <w:lang w:val="en-US"/>
              </w:rPr>
              <w:t xml:space="preserve">Excellent </w:t>
            </w:r>
            <w:r w:rsidR="00E1415A">
              <w:rPr>
                <w:rFonts w:ascii="Arial" w:hAnsi="Arial" w:cs="Arial"/>
                <w:b/>
                <w:bCs/>
                <w:lang w:val="en-US"/>
              </w:rPr>
              <w:t xml:space="preserve">    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(80-100%)</w:t>
            </w:r>
          </w:p>
        </w:tc>
      </w:tr>
      <w:tr w:rsidR="00A86FEE" w:rsidRPr="00A86FEE" w14:paraId="1129BEE7" w14:textId="77777777" w:rsidTr="007C0340">
        <w:trPr>
          <w:trHeight w:val="584"/>
        </w:trPr>
        <w:tc>
          <w:tcPr>
            <w:tcW w:w="2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30B80" w14:textId="1A599582" w:rsidR="00A86FEE" w:rsidRPr="00A86FEE" w:rsidRDefault="00D245B0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Analysis of Primary Sources </w:t>
            </w:r>
          </w:p>
        </w:tc>
        <w:tc>
          <w:tcPr>
            <w:tcW w:w="2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CFBCD" w14:textId="734FF950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 xml:space="preserve">Demonstrates limited knowledge of </w:t>
            </w:r>
            <w:r w:rsidR="00D245B0" w:rsidRPr="00616ED5">
              <w:rPr>
                <w:rFonts w:ascii="Arial" w:hAnsi="Arial" w:cs="Arial"/>
              </w:rPr>
              <w:t>primary sources</w:t>
            </w:r>
            <w:r w:rsidR="00A2668B" w:rsidRPr="00616ED5">
              <w:rPr>
                <w:rFonts w:ascii="Arial" w:hAnsi="Arial" w:cs="Arial"/>
              </w:rPr>
              <w:t>. Analysis</w:t>
            </w:r>
            <w:r w:rsidR="00CD4292" w:rsidRPr="00616ED5">
              <w:rPr>
                <w:rFonts w:ascii="Arial" w:hAnsi="Arial" w:cs="Arial"/>
              </w:rPr>
              <w:t xml:space="preserve"> is </w:t>
            </w:r>
            <w:r w:rsidR="009671D3" w:rsidRPr="00616ED5">
              <w:rPr>
                <w:rFonts w:ascii="Arial" w:hAnsi="Arial" w:cs="Arial"/>
              </w:rPr>
              <w:t xml:space="preserve">factually </w:t>
            </w:r>
            <w:r w:rsidR="003E4568" w:rsidRPr="00616ED5">
              <w:rPr>
                <w:rFonts w:ascii="Arial" w:hAnsi="Arial" w:cs="Arial"/>
              </w:rPr>
              <w:t xml:space="preserve">incorrect </w:t>
            </w:r>
            <w:r w:rsidR="009671D3" w:rsidRPr="00616ED5">
              <w:rPr>
                <w:rFonts w:ascii="Arial" w:hAnsi="Arial" w:cs="Arial"/>
              </w:rPr>
              <w:t>and/or absent.</w:t>
            </w:r>
          </w:p>
        </w:tc>
        <w:tc>
          <w:tcPr>
            <w:tcW w:w="2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4BA32" w14:textId="534DAA4A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 xml:space="preserve">Demonstrates some knowledge </w:t>
            </w:r>
            <w:r w:rsidR="00D245B0" w:rsidRPr="00616ED5">
              <w:rPr>
                <w:rFonts w:ascii="Arial" w:hAnsi="Arial" w:cs="Arial"/>
              </w:rPr>
              <w:t>of primary source</w:t>
            </w:r>
            <w:r w:rsidR="00CD4292" w:rsidRPr="00616ED5">
              <w:rPr>
                <w:rFonts w:ascii="Arial" w:hAnsi="Arial" w:cs="Arial"/>
              </w:rPr>
              <w:t xml:space="preserve">s. Analysis </w:t>
            </w:r>
            <w:r w:rsidR="003E4568" w:rsidRPr="00616ED5">
              <w:rPr>
                <w:rFonts w:ascii="Arial" w:hAnsi="Arial" w:cs="Arial"/>
              </w:rPr>
              <w:t xml:space="preserve">is </w:t>
            </w:r>
            <w:r w:rsidR="009671D3" w:rsidRPr="00616ED5">
              <w:rPr>
                <w:rFonts w:ascii="Arial" w:hAnsi="Arial" w:cs="Arial"/>
              </w:rPr>
              <w:t>factually accurate but</w:t>
            </w:r>
            <w:r w:rsidR="003E4568" w:rsidRPr="00616ED5">
              <w:rPr>
                <w:rFonts w:ascii="Arial" w:hAnsi="Arial" w:cs="Arial"/>
              </w:rPr>
              <w:t xml:space="preserve"> limited</w:t>
            </w:r>
            <w:r w:rsidR="00CD4292" w:rsidRPr="00616ED5">
              <w:rPr>
                <w:rFonts w:ascii="Arial" w:hAnsi="Arial" w:cs="Arial"/>
              </w:rPr>
              <w:t xml:space="preserve"> </w:t>
            </w:r>
            <w:r w:rsidR="009671D3" w:rsidRPr="00616ED5">
              <w:rPr>
                <w:rFonts w:ascii="Arial" w:hAnsi="Arial" w:cs="Arial"/>
              </w:rPr>
              <w:t xml:space="preserve">and/or </w:t>
            </w:r>
            <w:r w:rsidR="00CD4292" w:rsidRPr="00616ED5">
              <w:rPr>
                <w:rFonts w:ascii="Arial" w:hAnsi="Arial" w:cs="Arial"/>
              </w:rPr>
              <w:t xml:space="preserve">inconsistent.  </w:t>
            </w:r>
          </w:p>
        </w:tc>
        <w:tc>
          <w:tcPr>
            <w:tcW w:w="2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7D805" w14:textId="11D96151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 xml:space="preserve">Demonstrates considerable </w:t>
            </w:r>
            <w:r w:rsidR="00D245B0" w:rsidRPr="00616ED5">
              <w:rPr>
                <w:rFonts w:ascii="Arial" w:hAnsi="Arial" w:cs="Arial"/>
              </w:rPr>
              <w:t>knowledge of primary sources</w:t>
            </w:r>
            <w:r w:rsidR="00CD4292" w:rsidRPr="00616ED5">
              <w:rPr>
                <w:rFonts w:ascii="Arial" w:hAnsi="Arial" w:cs="Arial"/>
              </w:rPr>
              <w:t xml:space="preserve">. Analysis is </w:t>
            </w:r>
            <w:r w:rsidR="009671D3" w:rsidRPr="00616ED5">
              <w:rPr>
                <w:rFonts w:ascii="Arial" w:hAnsi="Arial" w:cs="Arial"/>
              </w:rPr>
              <w:t xml:space="preserve">factually </w:t>
            </w:r>
            <w:r w:rsidR="003E4568" w:rsidRPr="00616ED5">
              <w:rPr>
                <w:rFonts w:ascii="Arial" w:hAnsi="Arial" w:cs="Arial"/>
              </w:rPr>
              <w:t>accurate</w:t>
            </w:r>
            <w:r w:rsidR="009671D3" w:rsidRPr="00616ED5">
              <w:rPr>
                <w:rFonts w:ascii="Arial" w:hAnsi="Arial" w:cs="Arial"/>
              </w:rPr>
              <w:t>,</w:t>
            </w:r>
            <w:r w:rsidR="00DE20D1" w:rsidRPr="00616ED5">
              <w:rPr>
                <w:rFonts w:ascii="Arial" w:hAnsi="Arial" w:cs="Arial"/>
              </w:rPr>
              <w:t xml:space="preserve"> </w:t>
            </w:r>
            <w:r w:rsidR="009671D3" w:rsidRPr="00616ED5">
              <w:rPr>
                <w:rFonts w:ascii="Arial" w:hAnsi="Arial" w:cs="Arial"/>
              </w:rPr>
              <w:t>consistent, and</w:t>
            </w:r>
            <w:r w:rsidR="00DE20D1" w:rsidRPr="00616ED5">
              <w:rPr>
                <w:rFonts w:ascii="Arial" w:hAnsi="Arial" w:cs="Arial"/>
              </w:rPr>
              <w:t xml:space="preserve"> generally well-developed. </w:t>
            </w:r>
            <w:r w:rsidR="00CD4292" w:rsidRPr="00616ED5">
              <w:rPr>
                <w:rFonts w:ascii="Arial" w:hAnsi="Arial" w:cs="Arial"/>
              </w:rPr>
              <w:t xml:space="preserve"> </w:t>
            </w:r>
            <w:r w:rsidR="00D245B0" w:rsidRPr="00616ED5">
              <w:rPr>
                <w:rFonts w:ascii="Arial" w:hAnsi="Arial" w:cs="Arial"/>
              </w:rPr>
              <w:t xml:space="preserve"> </w:t>
            </w:r>
            <w:r w:rsidRPr="00A86F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71914" w14:textId="283677CA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 xml:space="preserve">Demonstrates thorough and insightful knowledge of </w:t>
            </w:r>
            <w:r w:rsidR="00D245B0" w:rsidRPr="00616ED5">
              <w:rPr>
                <w:rFonts w:ascii="Arial" w:hAnsi="Arial" w:cs="Arial"/>
              </w:rPr>
              <w:t>primary sources</w:t>
            </w:r>
            <w:r w:rsidR="00DE20D1" w:rsidRPr="00616ED5">
              <w:rPr>
                <w:rFonts w:ascii="Arial" w:hAnsi="Arial" w:cs="Arial"/>
              </w:rPr>
              <w:t xml:space="preserve">. Analysis is </w:t>
            </w:r>
            <w:r w:rsidR="0059191D" w:rsidRPr="00616ED5">
              <w:rPr>
                <w:rFonts w:ascii="Arial" w:hAnsi="Arial" w:cs="Arial"/>
              </w:rPr>
              <w:t xml:space="preserve">factually </w:t>
            </w:r>
            <w:r w:rsidR="00DE20D1" w:rsidRPr="00616ED5">
              <w:rPr>
                <w:rFonts w:ascii="Arial" w:hAnsi="Arial" w:cs="Arial"/>
              </w:rPr>
              <w:t>accurate</w:t>
            </w:r>
            <w:r w:rsidR="009671D3" w:rsidRPr="00616ED5">
              <w:rPr>
                <w:rFonts w:ascii="Arial" w:hAnsi="Arial" w:cs="Arial"/>
              </w:rPr>
              <w:t xml:space="preserve">, consistent, </w:t>
            </w:r>
            <w:r w:rsidR="00DE20D1" w:rsidRPr="00616ED5">
              <w:rPr>
                <w:rFonts w:ascii="Arial" w:hAnsi="Arial" w:cs="Arial"/>
              </w:rPr>
              <w:t xml:space="preserve">and well-developed throughout. </w:t>
            </w:r>
          </w:p>
        </w:tc>
      </w:tr>
      <w:tr w:rsidR="00A86FEE" w:rsidRPr="00A86FEE" w14:paraId="3557F29B" w14:textId="77777777" w:rsidTr="00216190">
        <w:trPr>
          <w:trHeight w:val="1785"/>
        </w:trPr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D64F6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  <w:lang w:val="en-US"/>
              </w:rPr>
              <w:t xml:space="preserve">Communication of information and ideas 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6E59D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>Communicates information and idea with limited clarity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37AD0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>Communicates information and ideas with some clarity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6FDA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>Communicates information and ideas with considerable clarity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EA9E2" w14:textId="77777777" w:rsidR="00A86FEE" w:rsidRPr="00A86FEE" w:rsidRDefault="00A86FE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A86FEE">
              <w:rPr>
                <w:rFonts w:ascii="Arial" w:hAnsi="Arial" w:cs="Arial"/>
              </w:rPr>
              <w:t>Communicates information and ideas with a high degree of clarity and with confidence</w:t>
            </w:r>
          </w:p>
        </w:tc>
      </w:tr>
    </w:tbl>
    <w:p w14:paraId="0E110E8D" w14:textId="28B44BF8" w:rsidR="003A0D53" w:rsidRPr="00616ED5" w:rsidRDefault="003A0D53" w:rsidP="0005344B">
      <w:pPr>
        <w:pStyle w:val="Heading1"/>
        <w:spacing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>Developing a Rubric</w:t>
      </w:r>
    </w:p>
    <w:p w14:paraId="1E55B561" w14:textId="20B521EA" w:rsidR="00451DE3" w:rsidRDefault="000D581E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Developing a rubric can be time-consuming, especially the first time. </w:t>
      </w:r>
      <w:r w:rsidR="00451DE3">
        <w:rPr>
          <w:rFonts w:ascii="Arial" w:hAnsi="Arial" w:cs="Arial"/>
        </w:rPr>
        <w:t xml:space="preserve">However, creating a rubric is </w:t>
      </w:r>
      <w:r w:rsidRPr="00616ED5">
        <w:rPr>
          <w:rFonts w:ascii="Arial" w:hAnsi="Arial" w:cs="Arial"/>
        </w:rPr>
        <w:t xml:space="preserve">an investment that </w:t>
      </w:r>
      <w:r w:rsidR="004B5011" w:rsidRPr="00616ED5">
        <w:rPr>
          <w:rFonts w:ascii="Arial" w:hAnsi="Arial" w:cs="Arial"/>
        </w:rPr>
        <w:t xml:space="preserve">will </w:t>
      </w:r>
      <w:r w:rsidRPr="00616ED5">
        <w:rPr>
          <w:rFonts w:ascii="Arial" w:hAnsi="Arial" w:cs="Arial"/>
        </w:rPr>
        <w:t xml:space="preserve">pay off in the long-term, especially as </w:t>
      </w:r>
      <w:r w:rsidR="00451DE3">
        <w:rPr>
          <w:rFonts w:ascii="Arial" w:hAnsi="Arial" w:cs="Arial"/>
        </w:rPr>
        <w:t>rubrics can be reused or adapted for other assessments.</w:t>
      </w:r>
    </w:p>
    <w:p w14:paraId="46D68053" w14:textId="51297A70" w:rsidR="00AB49AB" w:rsidRPr="00616ED5" w:rsidRDefault="00AB49AB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When designing a rubric, start by thinking about </w:t>
      </w:r>
      <w:r w:rsidR="00451DE3">
        <w:rPr>
          <w:rFonts w:ascii="Arial" w:hAnsi="Arial" w:cs="Arial"/>
        </w:rPr>
        <w:t>the</w:t>
      </w:r>
      <w:r w:rsidRPr="00616ED5">
        <w:rPr>
          <w:rFonts w:ascii="Arial" w:hAnsi="Arial" w:cs="Arial"/>
        </w:rPr>
        <w:t xml:space="preserve"> intended learning outcomes. </w:t>
      </w:r>
      <w:r w:rsidR="00DE085B" w:rsidRPr="00616ED5">
        <w:rPr>
          <w:rFonts w:ascii="Arial" w:hAnsi="Arial" w:cs="Arial"/>
        </w:rPr>
        <w:t xml:space="preserve">This </w:t>
      </w:r>
      <w:r w:rsidR="00451DE3">
        <w:rPr>
          <w:rFonts w:ascii="Arial" w:hAnsi="Arial" w:cs="Arial"/>
        </w:rPr>
        <w:t>process is</w:t>
      </w:r>
      <w:r w:rsidR="00DE085B" w:rsidRPr="00616ED5">
        <w:rPr>
          <w:rFonts w:ascii="Arial" w:hAnsi="Arial" w:cs="Arial"/>
        </w:rPr>
        <w:t xml:space="preserve"> multi-layered,</w:t>
      </w:r>
      <w:r w:rsidR="00451DE3">
        <w:rPr>
          <w:rFonts w:ascii="Arial" w:hAnsi="Arial" w:cs="Arial"/>
        </w:rPr>
        <w:t xml:space="preserve"> as it requires </w:t>
      </w:r>
      <w:r w:rsidR="00DE085B" w:rsidRPr="00616ED5">
        <w:rPr>
          <w:rFonts w:ascii="Arial" w:hAnsi="Arial" w:cs="Arial"/>
        </w:rPr>
        <w:t>thin</w:t>
      </w:r>
      <w:r w:rsidR="00451DE3">
        <w:rPr>
          <w:rFonts w:ascii="Arial" w:hAnsi="Arial" w:cs="Arial"/>
        </w:rPr>
        <w:t>king</w:t>
      </w:r>
      <w:r w:rsidR="00DE085B" w:rsidRPr="00616ED5">
        <w:rPr>
          <w:rFonts w:ascii="Arial" w:hAnsi="Arial" w:cs="Arial"/>
        </w:rPr>
        <w:t xml:space="preserve"> about both course level intended learning outcomes and assessment level intended learning outcome. </w:t>
      </w:r>
      <w:r w:rsidR="004B5011" w:rsidRPr="00616ED5">
        <w:rPr>
          <w:rFonts w:ascii="Arial" w:hAnsi="Arial" w:cs="Arial"/>
        </w:rPr>
        <w:t xml:space="preserve">What </w:t>
      </w:r>
      <w:r w:rsidR="00451DE3">
        <w:rPr>
          <w:rFonts w:ascii="Arial" w:hAnsi="Arial" w:cs="Arial"/>
        </w:rPr>
        <w:t>are students expected to accomplish</w:t>
      </w:r>
      <w:r w:rsidR="004B5011" w:rsidRPr="00616ED5">
        <w:rPr>
          <w:rFonts w:ascii="Arial" w:hAnsi="Arial" w:cs="Arial"/>
        </w:rPr>
        <w:t xml:space="preserve">? </w:t>
      </w:r>
    </w:p>
    <w:p w14:paraId="40C1B80E" w14:textId="1B323F10" w:rsidR="00451DE3" w:rsidRDefault="00941319" w:rsidP="0005344B">
      <w:pPr>
        <w:spacing w:after="120" w:line="276" w:lineRule="auto"/>
        <w:rPr>
          <w:rFonts w:ascii="Arial" w:hAnsi="Arial" w:cs="Arial"/>
        </w:rPr>
      </w:pPr>
      <w:r w:rsidRPr="00616ED5">
        <w:rPr>
          <w:rFonts w:ascii="Arial" w:hAnsi="Arial" w:cs="Arial"/>
        </w:rPr>
        <w:t xml:space="preserve">Below </w:t>
      </w:r>
      <w:r w:rsidR="00451DE3">
        <w:rPr>
          <w:rFonts w:ascii="Arial" w:hAnsi="Arial" w:cs="Arial"/>
        </w:rPr>
        <w:t>are</w:t>
      </w:r>
      <w:r w:rsidRPr="00616ED5">
        <w:rPr>
          <w:rFonts w:ascii="Arial" w:hAnsi="Arial" w:cs="Arial"/>
        </w:rPr>
        <w:t xml:space="preserve"> some sample rubrics</w:t>
      </w:r>
      <w:r w:rsidR="00451DE3">
        <w:rPr>
          <w:rFonts w:ascii="Arial" w:hAnsi="Arial" w:cs="Arial"/>
        </w:rPr>
        <w:t xml:space="preserve"> designed specifically for marking critical reflection. They can be used as-is or adapted.</w:t>
      </w:r>
    </w:p>
    <w:p w14:paraId="66B5EC5B" w14:textId="3241319B" w:rsidR="00292A16" w:rsidRPr="00616ED5" w:rsidRDefault="00FB7A22" w:rsidP="0005344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>Sample Rubric #</w:t>
      </w:r>
      <w:r w:rsidR="00941319" w:rsidRPr="00616ED5">
        <w:rPr>
          <w:rFonts w:ascii="Arial" w:hAnsi="Arial" w:cs="Arial"/>
          <w:color w:val="7A003C"/>
        </w:rPr>
        <w:t>1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A87041" w:rsidRPr="00616ED5" w14:paraId="7910DBB9" w14:textId="77777777" w:rsidTr="000C79DF">
        <w:trPr>
          <w:trHeight w:val="885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21B59" w14:textId="4A6101C7" w:rsidR="00550DEB" w:rsidRPr="00D9665C" w:rsidRDefault="00360C68" w:rsidP="0005344B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D9665C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FFF66" w14:textId="6FCFFE36" w:rsidR="00550DEB" w:rsidRPr="00A86FEE" w:rsidRDefault="00360C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Habitual Action / Non-Reflection</w:t>
            </w:r>
            <w:r w:rsidR="00550DEB" w:rsidRPr="00A86FEE">
              <w:rPr>
                <w:rFonts w:ascii="Arial" w:hAnsi="Arial" w:cs="Arial"/>
                <w:b/>
                <w:bCs/>
                <w:lang w:val="en-US"/>
              </w:rPr>
              <w:t xml:space="preserve"> (50-59%)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AC45" w14:textId="7B8486C9" w:rsidR="00550DEB" w:rsidRPr="00A86FEE" w:rsidRDefault="00550DEB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Understanding</w:t>
            </w:r>
            <w:r w:rsidR="00360C68" w:rsidRPr="00616E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(60-69%)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EA018" w14:textId="4C98F81A" w:rsidR="00550DEB" w:rsidRPr="00A86FEE" w:rsidRDefault="00550DEB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Reflection</w:t>
            </w:r>
            <w:r w:rsidR="00360C68" w:rsidRPr="00616ED5">
              <w:rPr>
                <w:rFonts w:ascii="Arial" w:hAnsi="Arial" w:cs="Arial"/>
                <w:b/>
                <w:bCs/>
                <w:lang w:val="en-US"/>
              </w:rPr>
              <w:t xml:space="preserve">  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(70-79%)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08812" w14:textId="473CB3B0" w:rsidR="00550DEB" w:rsidRPr="00A86FEE" w:rsidRDefault="00550DEB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Critical Reflection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60C68" w:rsidRPr="00616ED5">
              <w:rPr>
                <w:rFonts w:ascii="Arial" w:hAnsi="Arial" w:cs="Arial"/>
                <w:b/>
                <w:bCs/>
                <w:lang w:val="en-US"/>
              </w:rPr>
              <w:t xml:space="preserve">      </w:t>
            </w:r>
            <w:r w:rsidRPr="00A86FEE">
              <w:rPr>
                <w:rFonts w:ascii="Arial" w:hAnsi="Arial" w:cs="Arial"/>
                <w:b/>
                <w:bCs/>
                <w:lang w:val="en-US"/>
              </w:rPr>
              <w:t>(80-100%)</w:t>
            </w:r>
          </w:p>
        </w:tc>
      </w:tr>
      <w:tr w:rsidR="00A87041" w:rsidRPr="00616ED5" w14:paraId="60649A45" w14:textId="77777777" w:rsidTr="007C0340">
        <w:trPr>
          <w:trHeight w:val="584"/>
        </w:trPr>
        <w:tc>
          <w:tcPr>
            <w:tcW w:w="2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A4976" w14:textId="6160AF01" w:rsidR="00550DEB" w:rsidRPr="00A86FEE" w:rsidRDefault="00360C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Reflection on Existing Knowledge </w:t>
            </w:r>
            <w:r w:rsidR="00550DEB" w:rsidRPr="00616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C0633" w14:textId="4479F3EB" w:rsidR="006F2DCE" w:rsidRPr="00616ED5" w:rsidRDefault="004F0F6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Response is superficial</w:t>
            </w:r>
            <w:r w:rsidR="003C4B9D" w:rsidRPr="00616ED5">
              <w:rPr>
                <w:rFonts w:ascii="Arial" w:hAnsi="Arial" w:cs="Arial"/>
              </w:rPr>
              <w:t xml:space="preserve"> with little conscious</w:t>
            </w:r>
            <w:r w:rsidR="006F2DCE" w:rsidRPr="00616ED5">
              <w:rPr>
                <w:rFonts w:ascii="Arial" w:hAnsi="Arial" w:cs="Arial"/>
              </w:rPr>
              <w:t xml:space="preserve"> or </w:t>
            </w:r>
            <w:r w:rsidR="003C4B9D" w:rsidRPr="00616ED5">
              <w:rPr>
                <w:rFonts w:ascii="Arial" w:hAnsi="Arial" w:cs="Arial"/>
              </w:rPr>
              <w:t>deliberate thought</w:t>
            </w:r>
            <w:r w:rsidR="006F2DCE" w:rsidRPr="00616ED5">
              <w:rPr>
                <w:rFonts w:ascii="Arial" w:hAnsi="Arial" w:cs="Arial"/>
              </w:rPr>
              <w:t>.</w:t>
            </w:r>
            <w:r w:rsidR="00CA60F0" w:rsidRPr="00616ED5">
              <w:rPr>
                <w:rFonts w:ascii="Arial" w:hAnsi="Arial" w:cs="Arial"/>
              </w:rPr>
              <w:t xml:space="preserve"> Does not refer to existing knowledge. </w:t>
            </w:r>
            <w:r w:rsidR="007B5E47" w:rsidRPr="00616ED5">
              <w:rPr>
                <w:rFonts w:ascii="Arial" w:hAnsi="Arial" w:cs="Arial"/>
              </w:rPr>
              <w:t>Response</w:t>
            </w:r>
            <w:r w:rsidR="0025691F" w:rsidRPr="00616ED5">
              <w:rPr>
                <w:rFonts w:ascii="Arial" w:hAnsi="Arial" w:cs="Arial"/>
              </w:rPr>
              <w:t xml:space="preserve"> </w:t>
            </w:r>
            <w:r w:rsidR="007B5E47" w:rsidRPr="00616ED5">
              <w:rPr>
                <w:rFonts w:ascii="Arial" w:hAnsi="Arial" w:cs="Arial"/>
              </w:rPr>
              <w:t xml:space="preserve">does not </w:t>
            </w:r>
            <w:r w:rsidR="0025691F" w:rsidRPr="00616ED5">
              <w:rPr>
                <w:rFonts w:ascii="Arial" w:hAnsi="Arial" w:cs="Arial"/>
              </w:rPr>
              <w:t>demonstrate</w:t>
            </w:r>
            <w:r w:rsidR="007B5E47" w:rsidRPr="00616ED5">
              <w:rPr>
                <w:rFonts w:ascii="Arial" w:hAnsi="Arial" w:cs="Arial"/>
              </w:rPr>
              <w:t xml:space="preserve"> </w:t>
            </w:r>
            <w:r w:rsidR="0025691F" w:rsidRPr="00616ED5">
              <w:rPr>
                <w:rFonts w:ascii="Arial" w:hAnsi="Arial" w:cs="Arial"/>
              </w:rPr>
              <w:t>understanding</w:t>
            </w:r>
            <w:r w:rsidR="00A8621A" w:rsidRPr="00616ED5">
              <w:rPr>
                <w:rFonts w:ascii="Arial" w:hAnsi="Arial" w:cs="Arial"/>
              </w:rPr>
              <w:t xml:space="preserve"> of underlying </w:t>
            </w:r>
            <w:r w:rsidR="00A8621A" w:rsidRPr="00616ED5">
              <w:rPr>
                <w:rFonts w:ascii="Arial" w:hAnsi="Arial" w:cs="Arial"/>
              </w:rPr>
              <w:lastRenderedPageBreak/>
              <w:t>concepts or theory</w:t>
            </w:r>
            <w:r w:rsidR="0025691F" w:rsidRPr="00616ED5">
              <w:rPr>
                <w:rFonts w:ascii="Arial" w:hAnsi="Arial" w:cs="Arial"/>
              </w:rPr>
              <w:t xml:space="preserve">. </w:t>
            </w:r>
            <w:r w:rsidR="003C4B9D" w:rsidRPr="00616ED5">
              <w:rPr>
                <w:rFonts w:ascii="Arial" w:hAnsi="Arial" w:cs="Arial"/>
              </w:rPr>
              <w:t xml:space="preserve"> </w:t>
            </w:r>
          </w:p>
          <w:p w14:paraId="6970F414" w14:textId="05DA5232" w:rsidR="00550DEB" w:rsidRPr="00A86FEE" w:rsidRDefault="00550DEB" w:rsidP="0005344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096A8" w14:textId="1B05A073" w:rsidR="00550DEB" w:rsidRPr="00A86FEE" w:rsidRDefault="004F0F6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>Response draws on existin</w:t>
            </w:r>
            <w:r w:rsidR="007B5E47" w:rsidRPr="00616ED5">
              <w:rPr>
                <w:rFonts w:ascii="Arial" w:hAnsi="Arial" w:cs="Arial"/>
              </w:rPr>
              <w:t xml:space="preserve">g knowledge without attempting to appraise or evaluate knowledge. </w:t>
            </w:r>
            <w:r w:rsidR="00E1452C" w:rsidRPr="00616ED5">
              <w:rPr>
                <w:rFonts w:ascii="Arial" w:hAnsi="Arial" w:cs="Arial"/>
              </w:rPr>
              <w:t>D</w:t>
            </w:r>
            <w:r w:rsidR="007B5E47" w:rsidRPr="00616ED5">
              <w:rPr>
                <w:rFonts w:ascii="Arial" w:hAnsi="Arial" w:cs="Arial"/>
              </w:rPr>
              <w:t>emonstrates understanding</w:t>
            </w:r>
            <w:r w:rsidR="00A8621A" w:rsidRPr="00616ED5">
              <w:rPr>
                <w:rFonts w:ascii="Arial" w:hAnsi="Arial" w:cs="Arial"/>
              </w:rPr>
              <w:t xml:space="preserve"> of underlying </w:t>
            </w:r>
            <w:r w:rsidR="00A8621A" w:rsidRPr="00616ED5">
              <w:rPr>
                <w:rFonts w:ascii="Arial" w:hAnsi="Arial" w:cs="Arial"/>
              </w:rPr>
              <w:lastRenderedPageBreak/>
              <w:t>concepts or theory but</w:t>
            </w:r>
            <w:r w:rsidR="007B5E47" w:rsidRPr="00616ED5">
              <w:rPr>
                <w:rFonts w:ascii="Arial" w:hAnsi="Arial" w:cs="Arial"/>
              </w:rPr>
              <w:t xml:space="preserve"> does not relate to other experiences or personal reactions. </w:t>
            </w:r>
          </w:p>
        </w:tc>
        <w:tc>
          <w:tcPr>
            <w:tcW w:w="2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07A62" w14:textId="29754D35" w:rsidR="00550DEB" w:rsidRPr="00A86FEE" w:rsidRDefault="000F0791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Response </w:t>
            </w:r>
            <w:r w:rsidR="00E1452C" w:rsidRPr="00616ED5">
              <w:rPr>
                <w:rFonts w:ascii="Arial" w:hAnsi="Arial" w:cs="Arial"/>
              </w:rPr>
              <w:t>demonstrates a</w:t>
            </w:r>
            <w:r w:rsidR="003B5DA2" w:rsidRPr="00616ED5">
              <w:rPr>
                <w:rFonts w:ascii="Arial" w:hAnsi="Arial" w:cs="Arial"/>
              </w:rPr>
              <w:t>ctive and careful consideration of existing knowledge</w:t>
            </w:r>
            <w:r w:rsidR="00E1452C" w:rsidRPr="00616ED5">
              <w:rPr>
                <w:rFonts w:ascii="Arial" w:hAnsi="Arial" w:cs="Arial"/>
              </w:rPr>
              <w:t>. A</w:t>
            </w:r>
            <w:r w:rsidR="003B5DA2" w:rsidRPr="00616ED5">
              <w:rPr>
                <w:rFonts w:ascii="Arial" w:hAnsi="Arial" w:cs="Arial"/>
              </w:rPr>
              <w:t xml:space="preserve">rticulates new understanding of </w:t>
            </w:r>
            <w:r w:rsidR="00143E33" w:rsidRPr="00616ED5">
              <w:rPr>
                <w:rFonts w:ascii="Arial" w:hAnsi="Arial" w:cs="Arial"/>
              </w:rPr>
              <w:t xml:space="preserve">underlying concepts or </w:t>
            </w:r>
            <w:r w:rsidR="00143E33" w:rsidRPr="00616ED5">
              <w:rPr>
                <w:rFonts w:ascii="Arial" w:hAnsi="Arial" w:cs="Arial"/>
              </w:rPr>
              <w:lastRenderedPageBreak/>
              <w:t>theory</w:t>
            </w:r>
            <w:r w:rsidR="003B5DA2" w:rsidRPr="00616ED5">
              <w:rPr>
                <w:rFonts w:ascii="Arial" w:hAnsi="Arial" w:cs="Arial"/>
              </w:rPr>
              <w:t xml:space="preserve"> as a result of </w:t>
            </w:r>
            <w:r w:rsidR="00E1452C" w:rsidRPr="00616ED5">
              <w:rPr>
                <w:rFonts w:ascii="Arial" w:hAnsi="Arial" w:cs="Arial"/>
              </w:rPr>
              <w:t>the experience</w:t>
            </w:r>
            <w:r w:rsidR="003B5DA2" w:rsidRPr="00616ED5">
              <w:rPr>
                <w:rFonts w:ascii="Arial" w:hAnsi="Arial" w:cs="Arial"/>
              </w:rPr>
              <w:t>.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3C2CB" w14:textId="2D8259E0" w:rsidR="00550DEB" w:rsidRPr="00A86FEE" w:rsidRDefault="00E1452C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>Response c</w:t>
            </w:r>
            <w:r w:rsidR="003B5DA2" w:rsidRPr="00616ED5">
              <w:rPr>
                <w:rFonts w:ascii="Arial" w:hAnsi="Arial" w:cs="Arial"/>
              </w:rPr>
              <w:t xml:space="preserve">ritically reviews existing knowledge, </w:t>
            </w:r>
            <w:r w:rsidR="0046349D" w:rsidRPr="00616ED5">
              <w:rPr>
                <w:rFonts w:ascii="Arial" w:hAnsi="Arial" w:cs="Arial"/>
              </w:rPr>
              <w:t>questions,</w:t>
            </w:r>
            <w:r w:rsidR="003B5DA2" w:rsidRPr="00616ED5">
              <w:rPr>
                <w:rFonts w:ascii="Arial" w:hAnsi="Arial" w:cs="Arial"/>
              </w:rPr>
              <w:t xml:space="preserve"> </w:t>
            </w:r>
            <w:r w:rsidR="0046349D" w:rsidRPr="00616ED5">
              <w:rPr>
                <w:rFonts w:ascii="Arial" w:hAnsi="Arial" w:cs="Arial"/>
              </w:rPr>
              <w:t xml:space="preserve">and </w:t>
            </w:r>
            <w:r w:rsidR="003B5DA2" w:rsidRPr="00616ED5">
              <w:rPr>
                <w:rFonts w:ascii="Arial" w:hAnsi="Arial" w:cs="Arial"/>
              </w:rPr>
              <w:t>assumptions</w:t>
            </w:r>
            <w:r w:rsidR="0046349D" w:rsidRPr="00616ED5">
              <w:rPr>
                <w:rFonts w:ascii="Arial" w:hAnsi="Arial" w:cs="Arial"/>
              </w:rPr>
              <w:t>. A</w:t>
            </w:r>
            <w:r w:rsidR="003B5DA2" w:rsidRPr="00616ED5">
              <w:rPr>
                <w:rFonts w:ascii="Arial" w:hAnsi="Arial" w:cs="Arial"/>
              </w:rPr>
              <w:t>rticulates new perspectives</w:t>
            </w:r>
            <w:r w:rsidR="00143E33" w:rsidRPr="00616ED5">
              <w:rPr>
                <w:rFonts w:ascii="Arial" w:hAnsi="Arial" w:cs="Arial"/>
              </w:rPr>
              <w:t xml:space="preserve"> on underlying concepts or </w:t>
            </w:r>
            <w:r w:rsidR="00143E33" w:rsidRPr="00616ED5">
              <w:rPr>
                <w:rFonts w:ascii="Arial" w:hAnsi="Arial" w:cs="Arial"/>
              </w:rPr>
              <w:lastRenderedPageBreak/>
              <w:t>theory</w:t>
            </w:r>
            <w:r w:rsidR="003B5DA2" w:rsidRPr="00616ED5">
              <w:rPr>
                <w:rFonts w:ascii="Arial" w:hAnsi="Arial" w:cs="Arial"/>
              </w:rPr>
              <w:t xml:space="preserve"> as a result of the experience. </w:t>
            </w:r>
          </w:p>
        </w:tc>
      </w:tr>
      <w:tr w:rsidR="00A87041" w:rsidRPr="00616ED5" w14:paraId="13E6B0D9" w14:textId="77777777" w:rsidTr="000C79DF">
        <w:trPr>
          <w:trHeight w:val="584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F2F92" w14:textId="42F7FEE5" w:rsidR="00550DEB" w:rsidRPr="00A86FEE" w:rsidRDefault="004631D1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>Connection to Academic Concepts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0BA19" w14:textId="7A524383" w:rsidR="00550DEB" w:rsidRPr="00A86FEE" w:rsidRDefault="003C4B9D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No connections made between experience and class content </w:t>
            </w:r>
            <w:r w:rsidR="00801038" w:rsidRPr="00616ED5">
              <w:rPr>
                <w:rFonts w:ascii="Arial" w:hAnsi="Arial" w:cs="Arial"/>
              </w:rPr>
              <w:t>and/</w:t>
            </w:r>
            <w:r w:rsidRPr="00616ED5">
              <w:rPr>
                <w:rFonts w:ascii="Arial" w:hAnsi="Arial" w:cs="Arial"/>
              </w:rPr>
              <w:t>or literature</w:t>
            </w:r>
            <w:r w:rsidR="00163EF2" w:rsidRPr="00616ED5">
              <w:rPr>
                <w:rFonts w:ascii="Arial" w:hAnsi="Arial" w:cs="Arial"/>
              </w:rPr>
              <w:t>.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0248D" w14:textId="324FFB1D" w:rsidR="00550DEB" w:rsidRPr="00A86FEE" w:rsidRDefault="00A87041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Connections between </w:t>
            </w:r>
            <w:r w:rsidR="003C4B9D" w:rsidRPr="00616ED5">
              <w:rPr>
                <w:rFonts w:ascii="Arial" w:hAnsi="Arial" w:cs="Arial"/>
              </w:rPr>
              <w:t xml:space="preserve">experience </w:t>
            </w:r>
            <w:r w:rsidRPr="00616ED5">
              <w:rPr>
                <w:rFonts w:ascii="Arial" w:hAnsi="Arial" w:cs="Arial"/>
              </w:rPr>
              <w:t>and</w:t>
            </w:r>
            <w:r w:rsidR="003C4B9D" w:rsidRPr="00616ED5">
              <w:rPr>
                <w:rFonts w:ascii="Arial" w:hAnsi="Arial" w:cs="Arial"/>
              </w:rPr>
              <w:t xml:space="preserve"> class content</w:t>
            </w:r>
            <w:r w:rsidR="00801038" w:rsidRPr="00616ED5">
              <w:rPr>
                <w:rFonts w:ascii="Arial" w:hAnsi="Arial" w:cs="Arial"/>
              </w:rPr>
              <w:t xml:space="preserve"> and/or literature</w:t>
            </w:r>
            <w:r w:rsidR="003C4B9D" w:rsidRPr="00616ED5">
              <w:rPr>
                <w:rFonts w:ascii="Arial" w:hAnsi="Arial" w:cs="Arial"/>
              </w:rPr>
              <w:t>, but these connections are superficial or abstract</w:t>
            </w:r>
            <w:r w:rsidR="00163EF2" w:rsidRPr="00616ED5">
              <w:rPr>
                <w:rFonts w:ascii="Arial" w:hAnsi="Arial" w:cs="Arial"/>
              </w:rPr>
              <w:t>.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71C66" w14:textId="7AC0F948" w:rsidR="00550DEB" w:rsidRPr="00A86FEE" w:rsidRDefault="002574A2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C</w:t>
            </w:r>
            <w:r w:rsidR="003C4B9D" w:rsidRPr="00616ED5">
              <w:rPr>
                <w:rFonts w:ascii="Arial" w:hAnsi="Arial" w:cs="Arial"/>
              </w:rPr>
              <w:t>lear connections between experience and class content</w:t>
            </w:r>
            <w:r w:rsidR="00801038" w:rsidRPr="00616ED5">
              <w:rPr>
                <w:rFonts w:ascii="Arial" w:hAnsi="Arial" w:cs="Arial"/>
              </w:rPr>
              <w:t xml:space="preserve"> and/or literature</w:t>
            </w:r>
            <w:r w:rsidR="003C4B9D" w:rsidRPr="00616ED5">
              <w:rPr>
                <w:rFonts w:ascii="Arial" w:hAnsi="Arial" w:cs="Arial"/>
              </w:rPr>
              <w:t>. There is evidence of the application of theory.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9538B" w14:textId="742867CB" w:rsidR="00550DEB" w:rsidRPr="00A86FEE" w:rsidRDefault="002574A2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S</w:t>
            </w:r>
            <w:r w:rsidR="003C4B9D" w:rsidRPr="00616ED5">
              <w:rPr>
                <w:rFonts w:ascii="Arial" w:hAnsi="Arial" w:cs="Arial"/>
              </w:rPr>
              <w:t>uperior connection</w:t>
            </w:r>
            <w:r w:rsidRPr="00616ED5">
              <w:rPr>
                <w:rFonts w:ascii="Arial" w:hAnsi="Arial" w:cs="Arial"/>
              </w:rPr>
              <w:t>s</w:t>
            </w:r>
            <w:r w:rsidR="003C4B9D" w:rsidRPr="00616ED5">
              <w:rPr>
                <w:rFonts w:ascii="Arial" w:hAnsi="Arial" w:cs="Arial"/>
              </w:rPr>
              <w:t xml:space="preserve"> between experience and class content and literature. </w:t>
            </w:r>
            <w:r w:rsidR="00CA284D" w:rsidRPr="00616ED5">
              <w:rPr>
                <w:rFonts w:ascii="Arial" w:hAnsi="Arial" w:cs="Arial"/>
              </w:rPr>
              <w:t>There is e</w:t>
            </w:r>
            <w:r w:rsidR="003C4B9D" w:rsidRPr="00616ED5">
              <w:rPr>
                <w:rFonts w:ascii="Arial" w:hAnsi="Arial" w:cs="Arial"/>
              </w:rPr>
              <w:t xml:space="preserve">vidence of </w:t>
            </w:r>
            <w:r w:rsidR="00CA284D" w:rsidRPr="00616ED5">
              <w:rPr>
                <w:rFonts w:ascii="Arial" w:hAnsi="Arial" w:cs="Arial"/>
              </w:rPr>
              <w:t xml:space="preserve">the </w:t>
            </w:r>
            <w:r w:rsidR="003C4B9D" w:rsidRPr="00616ED5">
              <w:rPr>
                <w:rFonts w:ascii="Arial" w:hAnsi="Arial" w:cs="Arial"/>
              </w:rPr>
              <w:t>application of theory and</w:t>
            </w:r>
            <w:r w:rsidR="00D05CF9" w:rsidRPr="00616ED5">
              <w:rPr>
                <w:rFonts w:ascii="Arial" w:hAnsi="Arial" w:cs="Arial"/>
              </w:rPr>
              <w:t xml:space="preserve"> the reconstruction </w:t>
            </w:r>
            <w:r w:rsidR="003C4B9D" w:rsidRPr="00616ED5">
              <w:rPr>
                <w:rFonts w:ascii="Arial" w:hAnsi="Arial" w:cs="Arial"/>
              </w:rPr>
              <w:t xml:space="preserve">of perspective. </w:t>
            </w:r>
          </w:p>
        </w:tc>
      </w:tr>
      <w:tr w:rsidR="00A87041" w:rsidRPr="00616ED5" w14:paraId="342709A0" w14:textId="77777777" w:rsidTr="007C0340">
        <w:trPr>
          <w:trHeight w:val="584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6A7AA" w14:textId="044F4D8C" w:rsidR="00360C68" w:rsidRPr="00616ED5" w:rsidRDefault="00360C68" w:rsidP="0005344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616ED5">
              <w:rPr>
                <w:rFonts w:ascii="Arial" w:hAnsi="Arial" w:cs="Arial"/>
                <w:lang w:val="en-US"/>
              </w:rPr>
              <w:t xml:space="preserve">Evidence of Development 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AF9BB" w14:textId="30B8F388" w:rsidR="00360C68" w:rsidRPr="00616ED5" w:rsidRDefault="00026D2A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No </w:t>
            </w:r>
            <w:r w:rsidR="00D05CF9" w:rsidRPr="00616ED5">
              <w:rPr>
                <w:rFonts w:ascii="Arial" w:hAnsi="Arial" w:cs="Arial"/>
              </w:rPr>
              <w:t>insights</w:t>
            </w:r>
            <w:r w:rsidRPr="00616ED5">
              <w:rPr>
                <w:rFonts w:ascii="Arial" w:hAnsi="Arial" w:cs="Arial"/>
              </w:rPr>
              <w:t xml:space="preserve"> about self or </w:t>
            </w:r>
            <w:r w:rsidR="00083AF8" w:rsidRPr="00616ED5">
              <w:rPr>
                <w:rFonts w:ascii="Arial" w:hAnsi="Arial" w:cs="Arial"/>
              </w:rPr>
              <w:t xml:space="preserve">a </w:t>
            </w:r>
            <w:r w:rsidRPr="00616ED5">
              <w:rPr>
                <w:rFonts w:ascii="Arial" w:hAnsi="Arial" w:cs="Arial"/>
              </w:rPr>
              <w:t xml:space="preserve">particular </w:t>
            </w:r>
            <w:r w:rsidR="00083AF8" w:rsidRPr="00616ED5">
              <w:rPr>
                <w:rFonts w:ascii="Arial" w:hAnsi="Arial" w:cs="Arial"/>
              </w:rPr>
              <w:t>issue or concept</w:t>
            </w:r>
            <w:r w:rsidRPr="00616ED5">
              <w:rPr>
                <w:rFonts w:ascii="Arial" w:hAnsi="Arial" w:cs="Arial"/>
              </w:rPr>
              <w:t xml:space="preserve"> as a result of </w:t>
            </w:r>
            <w:r w:rsidR="00083AF8" w:rsidRPr="00616ED5">
              <w:rPr>
                <w:rFonts w:ascii="Arial" w:hAnsi="Arial" w:cs="Arial"/>
              </w:rPr>
              <w:t xml:space="preserve">the </w:t>
            </w:r>
            <w:r w:rsidRPr="00616ED5">
              <w:rPr>
                <w:rFonts w:ascii="Arial" w:hAnsi="Arial" w:cs="Arial"/>
              </w:rPr>
              <w:t>experience.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B2DA9" w14:textId="008A0045" w:rsidR="00360C68" w:rsidRPr="00616ED5" w:rsidRDefault="00083AF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Superficial insights about self or a particular issue or concept as a result of the experience. </w:t>
            </w:r>
          </w:p>
        </w:tc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3851C" w14:textId="5DBB6D05" w:rsidR="00360C68" w:rsidRPr="00616ED5" w:rsidRDefault="0083127D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New </w:t>
            </w:r>
            <w:r w:rsidR="00026D2A" w:rsidRPr="00616ED5">
              <w:rPr>
                <w:rFonts w:ascii="Arial" w:hAnsi="Arial" w:cs="Arial"/>
              </w:rPr>
              <w:t>insight</w:t>
            </w:r>
            <w:r w:rsidRPr="00616ED5">
              <w:rPr>
                <w:rFonts w:ascii="Arial" w:hAnsi="Arial" w:cs="Arial"/>
              </w:rPr>
              <w:t>s</w:t>
            </w:r>
            <w:r w:rsidR="00026D2A" w:rsidRPr="00616ED5">
              <w:rPr>
                <w:rFonts w:ascii="Arial" w:hAnsi="Arial" w:cs="Arial"/>
              </w:rPr>
              <w:t xml:space="preserve"> about self </w:t>
            </w:r>
            <w:r w:rsidR="00DF2463" w:rsidRPr="00616ED5">
              <w:rPr>
                <w:rFonts w:ascii="Arial" w:hAnsi="Arial" w:cs="Arial"/>
              </w:rPr>
              <w:t xml:space="preserve">or </w:t>
            </w:r>
            <w:r w:rsidRPr="00616ED5">
              <w:rPr>
                <w:rFonts w:ascii="Arial" w:hAnsi="Arial" w:cs="Arial"/>
              </w:rPr>
              <w:t xml:space="preserve">a </w:t>
            </w:r>
            <w:r w:rsidR="00DF2463" w:rsidRPr="00616ED5">
              <w:rPr>
                <w:rFonts w:ascii="Arial" w:hAnsi="Arial" w:cs="Arial"/>
              </w:rPr>
              <w:t>particular issue</w:t>
            </w:r>
            <w:r w:rsidR="00357DBE" w:rsidRPr="00616ED5">
              <w:rPr>
                <w:rFonts w:ascii="Arial" w:hAnsi="Arial" w:cs="Arial"/>
              </w:rPr>
              <w:t xml:space="preserve"> or </w:t>
            </w:r>
            <w:r w:rsidR="00DF2463" w:rsidRPr="00616ED5">
              <w:rPr>
                <w:rFonts w:ascii="Arial" w:hAnsi="Arial" w:cs="Arial"/>
              </w:rPr>
              <w:t xml:space="preserve">concept problem as a result of </w:t>
            </w:r>
            <w:r w:rsidR="00163EF2" w:rsidRPr="00616ED5">
              <w:rPr>
                <w:rFonts w:ascii="Arial" w:hAnsi="Arial" w:cs="Arial"/>
              </w:rPr>
              <w:t xml:space="preserve">the </w:t>
            </w:r>
            <w:r w:rsidR="00DF2463" w:rsidRPr="00616ED5">
              <w:rPr>
                <w:rFonts w:ascii="Arial" w:hAnsi="Arial" w:cs="Arial"/>
              </w:rPr>
              <w:t>experience</w:t>
            </w:r>
            <w:r w:rsidR="00163EF2" w:rsidRPr="00616ED5">
              <w:rPr>
                <w:rFonts w:ascii="Arial" w:hAnsi="Arial" w:cs="Arial"/>
              </w:rPr>
              <w:t>.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0F3F7" w14:textId="2BDD11EC" w:rsidR="00357DBE" w:rsidRPr="00616ED5" w:rsidRDefault="00357DB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Transformation of perspective </w:t>
            </w:r>
            <w:r w:rsidR="00163EF2" w:rsidRPr="00616ED5">
              <w:rPr>
                <w:rFonts w:ascii="Arial" w:hAnsi="Arial" w:cs="Arial"/>
              </w:rPr>
              <w:t xml:space="preserve">of themselves or a particular issue or concept as a result of the experience. </w:t>
            </w:r>
          </w:p>
          <w:p w14:paraId="2D265F69" w14:textId="1AFF9FF2" w:rsidR="00360C68" w:rsidRPr="00616ED5" w:rsidRDefault="00360C68" w:rsidP="0005344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399F63B9" w14:textId="0B7483B1" w:rsidR="00797A07" w:rsidRDefault="0008539C" w:rsidP="0005344B">
      <w:pPr>
        <w:spacing w:after="120" w:line="276" w:lineRule="auto"/>
        <w:rPr>
          <w:rFonts w:ascii="Arial" w:hAnsi="Arial" w:cs="Arial"/>
        </w:rPr>
      </w:pPr>
      <w:r w:rsidRPr="0005344B">
        <w:rPr>
          <w:rFonts w:ascii="Arial" w:hAnsi="Arial" w:cs="Arial"/>
        </w:rPr>
        <w:t>Adapted from Kember, D., McKay, J., Sinclair, K., Kam, F., &amp; Wong, Y. (2008). A four-category scheme for coding and assessing the level of reflection in written work. Assessment &amp; Evaluation in Higher Education, 33(4), 369-379</w:t>
      </w:r>
      <w:r w:rsidR="00801038" w:rsidRPr="0005344B">
        <w:rPr>
          <w:rFonts w:ascii="Arial" w:hAnsi="Arial" w:cs="Arial"/>
        </w:rPr>
        <w:t>.</w:t>
      </w:r>
    </w:p>
    <w:p w14:paraId="22AF4583" w14:textId="22BABE27" w:rsidR="00013750" w:rsidRPr="0005344B" w:rsidRDefault="00D52D65" w:rsidP="0005344B">
      <w:pPr>
        <w:spacing w:after="120" w:line="276" w:lineRule="auto"/>
        <w:rPr>
          <w:rFonts w:ascii="Arial" w:hAnsi="Arial" w:cs="Arial"/>
        </w:rPr>
      </w:pPr>
      <w:hyperlink r:id="rId7" w:history="1">
        <w:r w:rsidR="00C97AF6" w:rsidRPr="00D52D65">
          <w:rPr>
            <w:rStyle w:val="Hyperlink"/>
            <w:rFonts w:ascii="Arial" w:hAnsi="Arial" w:cs="Arial"/>
          </w:rPr>
          <w:t>Download a cop</w:t>
        </w:r>
        <w:r w:rsidR="00C97AF6" w:rsidRPr="00D52D65">
          <w:rPr>
            <w:rStyle w:val="Hyperlink"/>
            <w:rFonts w:ascii="Arial" w:hAnsi="Arial" w:cs="Arial"/>
          </w:rPr>
          <w:t>y of the rubric.</w:t>
        </w:r>
      </w:hyperlink>
      <w:r w:rsidR="00C97AF6">
        <w:rPr>
          <w:rFonts w:ascii="Arial" w:hAnsi="Arial" w:cs="Arial"/>
        </w:rPr>
        <w:t xml:space="preserve"> </w:t>
      </w:r>
    </w:p>
    <w:p w14:paraId="208AD0DE" w14:textId="3EE25257" w:rsidR="00292A16" w:rsidRPr="00616ED5" w:rsidRDefault="004D7638" w:rsidP="0005344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616ED5">
        <w:rPr>
          <w:rFonts w:ascii="Arial" w:hAnsi="Arial" w:cs="Arial"/>
          <w:color w:val="7A003C"/>
        </w:rPr>
        <w:t>Sample Rubric #2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9"/>
        <w:gridCol w:w="2549"/>
        <w:gridCol w:w="2549"/>
        <w:gridCol w:w="2549"/>
      </w:tblGrid>
      <w:tr w:rsidR="004C1AC5" w:rsidRPr="00616ED5" w14:paraId="7F1DC532" w14:textId="77777777" w:rsidTr="004C1AC5">
        <w:trPr>
          <w:trHeight w:val="885"/>
        </w:trPr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25AB" w14:textId="77777777" w:rsidR="004C1AC5" w:rsidRPr="00D9665C" w:rsidRDefault="004C1AC5" w:rsidP="0005344B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D9665C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8D4EF" w14:textId="305FA76D" w:rsidR="00C34834" w:rsidRPr="00A86FEE" w:rsidRDefault="00304572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Undeveloped</w:t>
            </w:r>
            <w:r w:rsidR="00C34834" w:rsidRPr="00616ED5">
              <w:rPr>
                <w:rFonts w:ascii="Arial" w:hAnsi="Arial" w:cs="Arial"/>
                <w:b/>
                <w:bCs/>
                <w:lang w:val="en-US"/>
              </w:rPr>
              <w:t xml:space="preserve"> / Beginner</w:t>
            </w:r>
            <w:r w:rsidR="00C34834" w:rsidRPr="00616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D9711" w14:textId="0A39883F" w:rsidR="004C1AC5" w:rsidRPr="00A86FEE" w:rsidRDefault="00304572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Developing</w:t>
            </w:r>
            <w:r w:rsidR="00C34834" w:rsidRPr="00616ED5">
              <w:rPr>
                <w:rFonts w:ascii="Arial" w:hAnsi="Arial" w:cs="Arial"/>
                <w:b/>
                <w:bCs/>
                <w:lang w:val="en-US"/>
              </w:rPr>
              <w:t xml:space="preserve"> / Intermediate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91A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90A2A" w14:textId="0120CED9" w:rsidR="004C1AC5" w:rsidRPr="00A86FEE" w:rsidRDefault="00304572" w:rsidP="0005344B">
            <w:pPr>
              <w:spacing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16ED5">
              <w:rPr>
                <w:rFonts w:ascii="Arial" w:hAnsi="Arial" w:cs="Arial"/>
                <w:b/>
                <w:bCs/>
                <w:lang w:val="en-US"/>
              </w:rPr>
              <w:t>Skill</w:t>
            </w:r>
            <w:r w:rsidR="00507106" w:rsidRPr="00616ED5">
              <w:rPr>
                <w:rFonts w:ascii="Arial" w:hAnsi="Arial" w:cs="Arial"/>
                <w:b/>
                <w:bCs/>
                <w:lang w:val="en-US"/>
              </w:rPr>
              <w:t>ed</w:t>
            </w:r>
            <w:r w:rsidR="00C34834" w:rsidRPr="00616ED5">
              <w:rPr>
                <w:rFonts w:ascii="Arial" w:hAnsi="Arial" w:cs="Arial"/>
                <w:b/>
                <w:bCs/>
                <w:lang w:val="en-US"/>
              </w:rPr>
              <w:t xml:space="preserve"> / Advanced </w:t>
            </w:r>
          </w:p>
        </w:tc>
      </w:tr>
      <w:tr w:rsidR="004C1AC5" w:rsidRPr="00616ED5" w14:paraId="11B8A74A" w14:textId="77777777" w:rsidTr="007C0340">
        <w:trPr>
          <w:trHeight w:val="584"/>
        </w:trPr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30BFF" w14:textId="0085C703" w:rsidR="004C1AC5" w:rsidRPr="00A86FEE" w:rsidRDefault="00D61125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Descr</w:t>
            </w:r>
            <w:r w:rsidR="0086596A" w:rsidRPr="00616ED5">
              <w:rPr>
                <w:rFonts w:ascii="Arial" w:hAnsi="Arial" w:cs="Arial"/>
              </w:rPr>
              <w:t xml:space="preserve">ibing the Learning Experience 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C9C3A" w14:textId="5775D2B8" w:rsidR="004C1AC5" w:rsidRPr="00616ED5" w:rsidRDefault="0086596A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Limited description of</w:t>
            </w:r>
            <w:r w:rsidR="00C56C30" w:rsidRPr="00616ED5">
              <w:rPr>
                <w:rFonts w:ascii="Arial" w:hAnsi="Arial" w:cs="Arial"/>
              </w:rPr>
              <w:t xml:space="preserve"> the context of</w:t>
            </w:r>
            <w:r w:rsidRPr="00616ED5">
              <w:rPr>
                <w:rFonts w:ascii="Arial" w:hAnsi="Arial" w:cs="Arial"/>
              </w:rPr>
              <w:t xml:space="preserve"> the learning experience.</w:t>
            </w:r>
          </w:p>
          <w:p w14:paraId="5AD204E0" w14:textId="77777777" w:rsidR="0086596A" w:rsidRPr="00616ED5" w:rsidRDefault="0086596A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Does not provide concrete examples to clarify and enhance understanding of knowledge claims</w:t>
            </w:r>
          </w:p>
          <w:p w14:paraId="127B2658" w14:textId="7CE68BD5" w:rsidR="0086596A" w:rsidRPr="00616ED5" w:rsidRDefault="0086596A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Imposes judgement, bias, or interpretation in the description of the experience. 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70393" w14:textId="77777777" w:rsidR="004C1AC5" w:rsidRPr="00616ED5" w:rsidRDefault="00C56C30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Clear description of the context of the learning experience. </w:t>
            </w:r>
          </w:p>
          <w:p w14:paraId="25816890" w14:textId="77777777" w:rsidR="00A069E1" w:rsidRPr="00616ED5" w:rsidRDefault="00E81537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Offers </w:t>
            </w:r>
            <w:r w:rsidR="00A069E1" w:rsidRPr="00616ED5">
              <w:rPr>
                <w:rFonts w:ascii="Arial" w:hAnsi="Arial" w:cs="Arial"/>
              </w:rPr>
              <w:t xml:space="preserve">concrete examples to clarify and enhance understanding of knowledge claims, but </w:t>
            </w:r>
            <w:r w:rsidR="00A069E1" w:rsidRPr="00616ED5">
              <w:rPr>
                <w:rFonts w:ascii="Arial" w:hAnsi="Arial" w:cs="Arial"/>
              </w:rPr>
              <w:lastRenderedPageBreak/>
              <w:t xml:space="preserve">some examples are underdeveloped or unclear. </w:t>
            </w:r>
          </w:p>
          <w:p w14:paraId="197AB318" w14:textId="21E2A3C9" w:rsidR="00A069E1" w:rsidRPr="00A86FEE" w:rsidRDefault="00A069E1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Imposes some judgement, bias, or interpretation in the description of the experience.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B3C9E" w14:textId="77777777" w:rsidR="004C1AC5" w:rsidRPr="00616ED5" w:rsidRDefault="00A069E1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Clear and </w:t>
            </w:r>
            <w:r w:rsidR="001E3E1B" w:rsidRPr="00616ED5">
              <w:rPr>
                <w:rFonts w:ascii="Arial" w:hAnsi="Arial" w:cs="Arial"/>
              </w:rPr>
              <w:t xml:space="preserve">engaging description of the context of the learning experience. </w:t>
            </w:r>
          </w:p>
          <w:p w14:paraId="75AB40C2" w14:textId="250E6774" w:rsidR="001E3E1B" w:rsidRPr="00616ED5" w:rsidRDefault="001E3E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Offers concrete examples to clarify and enhance </w:t>
            </w:r>
            <w:r w:rsidRPr="00616ED5">
              <w:rPr>
                <w:rFonts w:ascii="Arial" w:hAnsi="Arial" w:cs="Arial"/>
              </w:rPr>
              <w:lastRenderedPageBreak/>
              <w:t xml:space="preserve">understanding of knowledge claims. </w:t>
            </w:r>
          </w:p>
          <w:p w14:paraId="1335713E" w14:textId="5E234BF4" w:rsidR="001E3E1B" w:rsidRPr="00A86FEE" w:rsidRDefault="001E3E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Does not impose judgement, </w:t>
            </w:r>
            <w:r w:rsidR="00B253AB" w:rsidRPr="00616ED5">
              <w:rPr>
                <w:rFonts w:ascii="Arial" w:hAnsi="Arial" w:cs="Arial"/>
              </w:rPr>
              <w:t>bias,</w:t>
            </w:r>
            <w:r w:rsidRPr="00616ED5">
              <w:rPr>
                <w:rFonts w:ascii="Arial" w:hAnsi="Arial" w:cs="Arial"/>
              </w:rPr>
              <w:t xml:space="preserve"> or interpretation in the description of the experience. </w:t>
            </w:r>
          </w:p>
        </w:tc>
      </w:tr>
      <w:tr w:rsidR="004C1AC5" w:rsidRPr="00616ED5" w14:paraId="24B1FB8B" w14:textId="77777777" w:rsidTr="004C1AC5">
        <w:trPr>
          <w:trHeight w:val="584"/>
        </w:trPr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68CE2" w14:textId="56CBA9B3" w:rsidR="004C1AC5" w:rsidRPr="00A86FEE" w:rsidRDefault="006E0868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Analyzing the Learning Experience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671E2" w14:textId="77777777" w:rsidR="00132450" w:rsidRPr="00616ED5" w:rsidRDefault="00132450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Does not offer analysis and interpretation of the learning experience from diverse perspectives.</w:t>
            </w:r>
          </w:p>
          <w:p w14:paraId="63058BCF" w14:textId="77777777" w:rsidR="00132450" w:rsidRPr="00616ED5" w:rsidRDefault="00132450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Does not describe and explain changes in knowledge, skills, attitudes, or behaviours. </w:t>
            </w:r>
          </w:p>
          <w:p w14:paraId="336DA7DE" w14:textId="49D445C1" w:rsidR="004C1AC5" w:rsidRPr="00616ED5" w:rsidRDefault="00132450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Does not connect the learning experience and</w:t>
            </w:r>
            <w:r w:rsidR="00206822" w:rsidRPr="00616ED5">
              <w:rPr>
                <w:rFonts w:ascii="Arial" w:hAnsi="Arial" w:cs="Arial"/>
              </w:rPr>
              <w:t>/or</w:t>
            </w:r>
            <w:r w:rsidRPr="00616ED5">
              <w:rPr>
                <w:rFonts w:ascii="Arial" w:hAnsi="Arial" w:cs="Arial"/>
              </w:rPr>
              <w:t xml:space="preserve"> knowledge claims to concrete </w:t>
            </w:r>
            <w:r w:rsidR="00206822" w:rsidRPr="00616ED5">
              <w:rPr>
                <w:rFonts w:ascii="Arial" w:hAnsi="Arial" w:cs="Arial"/>
              </w:rPr>
              <w:t xml:space="preserve">examples from course content or literature. </w:t>
            </w:r>
          </w:p>
          <w:p w14:paraId="5487B37C" w14:textId="2B558FA2" w:rsidR="005579B3" w:rsidRPr="00A86FEE" w:rsidRDefault="005579B3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Does not connect the learning experience and/or knowledge claims to previous experiences.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30304" w14:textId="5577B8AD" w:rsidR="00753F8A" w:rsidRPr="00616ED5" w:rsidRDefault="00753F8A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Offers analysis and interpretation of the learning experience from</w:t>
            </w:r>
            <w:r w:rsidR="00132450" w:rsidRPr="00616ED5">
              <w:rPr>
                <w:rFonts w:ascii="Arial" w:hAnsi="Arial" w:cs="Arial"/>
              </w:rPr>
              <w:t xml:space="preserve"> a few perspectives.</w:t>
            </w:r>
          </w:p>
          <w:p w14:paraId="7B236583" w14:textId="77777777" w:rsidR="004C1AC5" w:rsidRPr="00616ED5" w:rsidRDefault="00F47479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Describes and explains changes in knowledge, skills, attitudes, or behaviours</w:t>
            </w:r>
            <w:r w:rsidR="00753F8A" w:rsidRPr="00616ED5">
              <w:rPr>
                <w:rFonts w:ascii="Arial" w:hAnsi="Arial" w:cs="Arial"/>
              </w:rPr>
              <w:t>, but some explanations are underdeveloped or unclear.</w:t>
            </w:r>
          </w:p>
          <w:p w14:paraId="5B2FE9F7" w14:textId="77777777" w:rsidR="005579B3" w:rsidRPr="00616ED5" w:rsidRDefault="00206822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Sometimes connects the learning experience and/or knowledge claims to concrete examples from course content or literature.</w:t>
            </w:r>
          </w:p>
          <w:p w14:paraId="74FD7FC6" w14:textId="2AA67E43" w:rsidR="00206822" w:rsidRPr="00A86FEE" w:rsidRDefault="005579B3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Sometimes connects the learning experience </w:t>
            </w:r>
            <w:r w:rsidR="007D727F" w:rsidRPr="00616ED5">
              <w:rPr>
                <w:rFonts w:ascii="Arial" w:hAnsi="Arial" w:cs="Arial"/>
              </w:rPr>
              <w:t>and/or knowledge claims to previous experiences.</w:t>
            </w:r>
            <w:r w:rsidR="00206822" w:rsidRPr="00616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9B8C" w14:textId="77777777" w:rsidR="004C1AC5" w:rsidRPr="00616ED5" w:rsidRDefault="009843F5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Offers analysis and interpretation of the learning experience from multiple perspectives. </w:t>
            </w:r>
          </w:p>
          <w:p w14:paraId="0E88ECFA" w14:textId="49C33DE3" w:rsidR="00DF6BF3" w:rsidRPr="00616ED5" w:rsidRDefault="00F47479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Clearly d</w:t>
            </w:r>
            <w:r w:rsidR="00DF6BF3" w:rsidRPr="00616ED5">
              <w:rPr>
                <w:rFonts w:ascii="Arial" w:hAnsi="Arial" w:cs="Arial"/>
              </w:rPr>
              <w:t>escribes and explains changes in knowledge, skills, attitude, or behaviours.</w:t>
            </w:r>
          </w:p>
          <w:p w14:paraId="40468C0A" w14:textId="77777777" w:rsidR="004D5D0B" w:rsidRPr="00616ED5" w:rsidRDefault="004D5D0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Connects the learning experience</w:t>
            </w:r>
            <w:r w:rsidR="00F47479" w:rsidRPr="00616ED5">
              <w:rPr>
                <w:rFonts w:ascii="Arial" w:hAnsi="Arial" w:cs="Arial"/>
              </w:rPr>
              <w:t xml:space="preserve"> and</w:t>
            </w:r>
            <w:r w:rsidR="00206822" w:rsidRPr="00616ED5">
              <w:rPr>
                <w:rFonts w:ascii="Arial" w:hAnsi="Arial" w:cs="Arial"/>
              </w:rPr>
              <w:t>/or</w:t>
            </w:r>
            <w:r w:rsidR="00F47479" w:rsidRPr="00616ED5">
              <w:rPr>
                <w:rFonts w:ascii="Arial" w:hAnsi="Arial" w:cs="Arial"/>
              </w:rPr>
              <w:t xml:space="preserve"> knowledge claims</w:t>
            </w:r>
            <w:r w:rsidRPr="00616ED5">
              <w:rPr>
                <w:rFonts w:ascii="Arial" w:hAnsi="Arial" w:cs="Arial"/>
              </w:rPr>
              <w:t xml:space="preserve"> to concrete examples from course content or literature. </w:t>
            </w:r>
          </w:p>
          <w:p w14:paraId="3C1BC611" w14:textId="2474567A" w:rsidR="007D727F" w:rsidRPr="00A86FEE" w:rsidRDefault="007D727F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Connects the learning experience and/or knowledge claims to previous experiences. </w:t>
            </w:r>
          </w:p>
        </w:tc>
      </w:tr>
      <w:tr w:rsidR="004C1AC5" w:rsidRPr="00616ED5" w14:paraId="1DC71E8E" w14:textId="77777777" w:rsidTr="007C0340">
        <w:trPr>
          <w:trHeight w:val="584"/>
        </w:trPr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BC282" w14:textId="5BA7AF23" w:rsidR="004C1AC5" w:rsidRPr="00616ED5" w:rsidRDefault="006E0868" w:rsidP="0005344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616ED5">
              <w:rPr>
                <w:rFonts w:ascii="Arial" w:hAnsi="Arial" w:cs="Arial"/>
                <w:lang w:val="en-US"/>
              </w:rPr>
              <w:t xml:space="preserve">Applying the Learning Experience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6693A" w14:textId="2D44591C" w:rsidR="00FF6B1B" w:rsidRPr="00616ED5" w:rsidRDefault="00B8694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Does not discuss</w:t>
            </w:r>
            <w:r w:rsidR="00FF6B1B" w:rsidRPr="00616ED5">
              <w:rPr>
                <w:rFonts w:ascii="Arial" w:hAnsi="Arial" w:cs="Arial"/>
              </w:rPr>
              <w:t xml:space="preserve"> how the learning experience has confirmed, differed, and/or enhanced theoretical or practical understanding of a </w:t>
            </w:r>
          </w:p>
          <w:p w14:paraId="56DAE3D7" w14:textId="085B93EC" w:rsidR="004C1AC5" w:rsidRPr="00616ED5" w:rsidRDefault="007573BF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Does not </w:t>
            </w:r>
            <w:r w:rsidR="00747AA9" w:rsidRPr="00616ED5">
              <w:rPr>
                <w:rFonts w:ascii="Arial" w:hAnsi="Arial" w:cs="Arial"/>
              </w:rPr>
              <w:t xml:space="preserve">articulate practical insights or offer recommendations </w:t>
            </w:r>
            <w:r w:rsidR="00747AA9" w:rsidRPr="00616ED5">
              <w:rPr>
                <w:rFonts w:ascii="Arial" w:hAnsi="Arial" w:cs="Arial"/>
              </w:rPr>
              <w:lastRenderedPageBreak/>
              <w:t xml:space="preserve">for next steps. </w:t>
            </w:r>
            <w:r w:rsidR="00421C63" w:rsidRPr="00616ED5">
              <w:rPr>
                <w:rFonts w:ascii="Arial" w:hAnsi="Arial" w:cs="Arial"/>
              </w:rPr>
              <w:t>There is no action plan.</w:t>
            </w:r>
          </w:p>
          <w:p w14:paraId="6D31EC36" w14:textId="777CC341" w:rsidR="00FF6B1B" w:rsidRPr="00616ED5" w:rsidRDefault="00FF6B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Does not communicate the value of the learning experience.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E4927" w14:textId="482E92AB" w:rsidR="00B253AB" w:rsidRPr="00616ED5" w:rsidRDefault="00B253A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Discusses how the learning experience has confirmed, differed, and/or enhanced theoretical or practical understanding of topic, but the discussion is abstract or superficial. </w:t>
            </w:r>
          </w:p>
          <w:p w14:paraId="126B5342" w14:textId="42EAEEF7" w:rsidR="00FF6B1B" w:rsidRPr="00616ED5" w:rsidRDefault="00747AA9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 xml:space="preserve">Articulates </w:t>
            </w:r>
            <w:r w:rsidR="00421C63" w:rsidRPr="00616ED5">
              <w:rPr>
                <w:rFonts w:ascii="Arial" w:hAnsi="Arial" w:cs="Arial"/>
              </w:rPr>
              <w:t xml:space="preserve">some </w:t>
            </w:r>
            <w:r w:rsidRPr="00616ED5">
              <w:rPr>
                <w:rFonts w:ascii="Arial" w:hAnsi="Arial" w:cs="Arial"/>
              </w:rPr>
              <w:t>practical insights</w:t>
            </w:r>
            <w:r w:rsidR="00421C63" w:rsidRPr="00616ED5">
              <w:rPr>
                <w:rFonts w:ascii="Arial" w:hAnsi="Arial" w:cs="Arial"/>
              </w:rPr>
              <w:t xml:space="preserve"> and offers recommendations for next steps, but the action plan is unclear.</w:t>
            </w:r>
          </w:p>
          <w:p w14:paraId="2F3FBE8B" w14:textId="083FD864" w:rsidR="004C1AC5" w:rsidRPr="00616ED5" w:rsidRDefault="00FF6B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>Somewhat communicates the value of the learning experience.</w:t>
            </w:r>
            <w:r w:rsidR="007573BF" w:rsidRPr="00616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C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C4B00" w14:textId="53287721" w:rsidR="00B253AB" w:rsidRPr="00616ED5" w:rsidRDefault="00B8694E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lastRenderedPageBreak/>
              <w:t>Clearly d</w:t>
            </w:r>
            <w:r w:rsidR="00B253AB" w:rsidRPr="00616ED5">
              <w:rPr>
                <w:rFonts w:ascii="Arial" w:hAnsi="Arial" w:cs="Arial"/>
              </w:rPr>
              <w:t xml:space="preserve">iscusses how the learning experience has confirmed, differed, and/or enhanced theoretical or practical understandings of a topic. </w:t>
            </w:r>
          </w:p>
          <w:p w14:paraId="2606B5FE" w14:textId="5F1D06F6" w:rsidR="004C1AC5" w:rsidRPr="00616ED5" w:rsidRDefault="003E7229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Articulates practical insights and offers </w:t>
            </w:r>
            <w:r w:rsidRPr="00616ED5">
              <w:rPr>
                <w:rFonts w:ascii="Arial" w:hAnsi="Arial" w:cs="Arial"/>
              </w:rPr>
              <w:lastRenderedPageBreak/>
              <w:t xml:space="preserve">recommendations for </w:t>
            </w:r>
            <w:r w:rsidR="00747AA9" w:rsidRPr="00616ED5">
              <w:rPr>
                <w:rFonts w:ascii="Arial" w:hAnsi="Arial" w:cs="Arial"/>
              </w:rPr>
              <w:t>next steps.</w:t>
            </w:r>
            <w:r w:rsidRPr="00616ED5">
              <w:rPr>
                <w:rFonts w:ascii="Arial" w:hAnsi="Arial" w:cs="Arial"/>
              </w:rPr>
              <w:t xml:space="preserve"> </w:t>
            </w:r>
            <w:r w:rsidR="00421C63" w:rsidRPr="00616ED5">
              <w:rPr>
                <w:rFonts w:ascii="Arial" w:hAnsi="Arial" w:cs="Arial"/>
              </w:rPr>
              <w:t xml:space="preserve">There is a clear action plan. </w:t>
            </w:r>
          </w:p>
          <w:p w14:paraId="3B7D95C4" w14:textId="19C51DAC" w:rsidR="00FF6B1B" w:rsidRPr="00616ED5" w:rsidRDefault="00FF6B1B" w:rsidP="0005344B">
            <w:pPr>
              <w:spacing w:after="120" w:line="276" w:lineRule="auto"/>
              <w:rPr>
                <w:rFonts w:ascii="Arial" w:hAnsi="Arial" w:cs="Arial"/>
              </w:rPr>
            </w:pPr>
            <w:r w:rsidRPr="00616ED5">
              <w:rPr>
                <w:rFonts w:ascii="Arial" w:hAnsi="Arial" w:cs="Arial"/>
              </w:rPr>
              <w:t xml:space="preserve">Clearly communicates the value of the learning experience. </w:t>
            </w:r>
          </w:p>
        </w:tc>
      </w:tr>
    </w:tbl>
    <w:p w14:paraId="3FA61FE6" w14:textId="0BF9944C" w:rsidR="00D770E1" w:rsidRDefault="00616ED5" w:rsidP="0005344B">
      <w:pPr>
        <w:spacing w:after="120" w:line="276" w:lineRule="auto"/>
        <w:rPr>
          <w:rStyle w:val="Hyperlink"/>
          <w:rFonts w:ascii="Arial" w:hAnsi="Arial" w:cs="Arial"/>
        </w:rPr>
      </w:pPr>
      <w:r w:rsidRPr="00616ED5">
        <w:rPr>
          <w:rFonts w:ascii="Arial" w:hAnsi="Arial" w:cs="Arial"/>
        </w:rPr>
        <w:lastRenderedPageBreak/>
        <w:t xml:space="preserve">Adapted from </w:t>
      </w:r>
      <w:r w:rsidR="007D5953">
        <w:rPr>
          <w:rFonts w:ascii="Arial" w:hAnsi="Arial" w:cs="Arial"/>
        </w:rPr>
        <w:t>Kiely, R</w:t>
      </w:r>
      <w:r w:rsidRPr="00616ED5">
        <w:rPr>
          <w:rFonts w:ascii="Arial" w:hAnsi="Arial" w:cs="Arial"/>
        </w:rPr>
        <w:t xml:space="preserve">. (2017). “Rubric for the what? So what? Now what? Critical reflection framework.” Office of Engagement Initiatives, Cornell University. </w:t>
      </w:r>
      <w:hyperlink r:id="rId8" w:history="1">
        <w:r w:rsidRPr="00616ED5">
          <w:rPr>
            <w:rStyle w:val="Hyperlink"/>
            <w:rFonts w:ascii="Arial" w:hAnsi="Arial" w:cs="Arial"/>
          </w:rPr>
          <w:t>https://usm.maine.edu/sites/default/files/service-learning-volunteering/Engaged%20Cornell%20Reflection%20Rubric.pdf</w:t>
        </w:r>
      </w:hyperlink>
    </w:p>
    <w:p w14:paraId="10475866" w14:textId="15DE6747" w:rsidR="00407A72" w:rsidRPr="00407A72" w:rsidRDefault="00013750" w:rsidP="0005344B">
      <w:pPr>
        <w:spacing w:after="120" w:line="276" w:lineRule="auto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Download a copy of the rubric.</w:t>
        </w:r>
      </w:hyperlink>
    </w:p>
    <w:p w14:paraId="594EC74A" w14:textId="1F7D4469" w:rsidR="0005344B" w:rsidRDefault="002B0372" w:rsidP="0005344B">
      <w:pPr>
        <w:spacing w:after="120" w:line="276" w:lineRule="auto"/>
        <w:rPr>
          <w:rFonts w:ascii="Arial" w:hAnsi="Arial" w:cs="Arial"/>
        </w:rPr>
      </w:pPr>
      <w:r w:rsidRPr="00112D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7ACF" wp14:editId="5418661F">
                <wp:simplePos x="0" y="0"/>
                <wp:positionH relativeFrom="margin">
                  <wp:align>left</wp:align>
                </wp:positionH>
                <wp:positionV relativeFrom="paragraph">
                  <wp:posOffset>129899</wp:posOffset>
                </wp:positionV>
                <wp:extent cx="6602730" cy="839691"/>
                <wp:effectExtent l="19050" t="19050" r="26670" b="17780"/>
                <wp:wrapNone/>
                <wp:docPr id="1" name="Text Box 1" descr="A text box containing contact information for the Careers &amp; Experience team. &#10;&#10;Contact Us&#10;Email: hmcareer@mcmaster.ca&#10;Website: https://humcareers.humanities.mcmaster.ca&#10;Register For a Workshop: https://bit.ly/OSCARplus&#10;Book An Appointment: https://bit.ly/HumSEOApp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839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A003C"/>
                          </a:solidFill>
                        </a:ln>
                      </wps:spPr>
                      <wps:txbx>
                        <w:txbxContent>
                          <w:p w14:paraId="73FABF06" w14:textId="6C3875A9" w:rsidR="002B0372" w:rsidRPr="00A21E89" w:rsidRDefault="002B0372" w:rsidP="002B0372">
                            <w:pPr>
                              <w:pStyle w:val="Heading2"/>
                              <w:spacing w:before="0" w:after="120"/>
                              <w:rPr>
                                <w:rFonts w:ascii="Arial" w:hAnsi="Arial" w:cs="Arial"/>
                                <w:color w:val="7A003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A003C"/>
                              </w:rPr>
                              <w:t>Modifying Rubrics</w:t>
                            </w:r>
                          </w:p>
                          <w:p w14:paraId="2917ED3B" w14:textId="0FDC04ED" w:rsidR="00C8341F" w:rsidRDefault="002B0372" w:rsidP="002B03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18B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rubrics </w:t>
                            </w:r>
                            <w:r w:rsidRPr="008C18B6">
                              <w:rPr>
                                <w:rFonts w:ascii="Arial" w:hAnsi="Arial" w:cs="Arial"/>
                              </w:rPr>
                              <w:t>provided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  <w:r w:rsidRPr="008C18B6">
                              <w:rPr>
                                <w:rFonts w:ascii="Arial" w:hAnsi="Arial" w:cs="Arial"/>
                              </w:rPr>
                              <w:t xml:space="preserve"> are merely a starting point.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While they can be used as</w:t>
                            </w:r>
                            <w:r w:rsidR="00451DE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is, </w:t>
                            </w:r>
                            <w:r w:rsidR="00C8341F">
                              <w:rPr>
                                <w:rFonts w:ascii="Arial" w:hAnsi="Arial" w:cs="Arial"/>
                              </w:rPr>
                              <w:t xml:space="preserve">they may need to be adapted to address specific course content or themes. </w:t>
                            </w:r>
                          </w:p>
                          <w:p w14:paraId="3017DBCD" w14:textId="77777777" w:rsidR="002B0372" w:rsidRPr="008C18B6" w:rsidRDefault="002B0372" w:rsidP="002B03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7A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A text box containing contact information for the Careers &amp; Experience team. &#10;&#10;Contact Us&#10;Email: hmcareer@mcmaster.ca&#10;Website: https://humcareers.humanities.mcmaster.ca&#10;Register For a Workshop: https://bit.ly/OSCARplus&#10;Book An Appointment: https://bit.ly/HumSEOAppt&#10;" style="position:absolute;margin-left:0;margin-top:10.25pt;width:519.9pt;height:6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" fillcolor="white [3201]" strokecolor="#7a003c" strokeweight="3pt">
                <v:textbox>
                  <w:txbxContent>
                    <w:p w14:paraId="73FABF06" w14:textId="6C3875A9" w:rsidR="002B0372" w:rsidRPr="00A21E89" w:rsidRDefault="002B0372" w:rsidP="002B0372">
                      <w:pPr>
                        <w:pStyle w:val="Heading2"/>
                        <w:spacing w:before="0" w:after="120"/>
                        <w:rPr>
                          <w:rFonts w:ascii="Arial" w:hAnsi="Arial" w:cs="Arial"/>
                          <w:color w:val="7A003C"/>
                        </w:rPr>
                      </w:pPr>
                      <w:r>
                        <w:rPr>
                          <w:rFonts w:ascii="Arial" w:hAnsi="Arial" w:cs="Arial"/>
                          <w:color w:val="7A003C"/>
                        </w:rPr>
                        <w:t>Modifying Rubrics</w:t>
                      </w:r>
                    </w:p>
                    <w:p w14:paraId="2917ED3B" w14:textId="0FDC04ED" w:rsidR="00C8341F" w:rsidRDefault="002B0372" w:rsidP="002B0372">
                      <w:pPr>
                        <w:rPr>
                          <w:rFonts w:ascii="Arial" w:hAnsi="Arial" w:cs="Arial"/>
                        </w:rPr>
                      </w:pPr>
                      <w:r w:rsidRPr="008C18B6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 xml:space="preserve">rubrics </w:t>
                      </w:r>
                      <w:r w:rsidRPr="008C18B6">
                        <w:rPr>
                          <w:rFonts w:ascii="Arial" w:hAnsi="Arial" w:cs="Arial"/>
                        </w:rPr>
                        <w:t>provided</w:t>
                      </w:r>
                      <w:r>
                        <w:rPr>
                          <w:rFonts w:ascii="Arial" w:hAnsi="Arial" w:cs="Arial"/>
                        </w:rPr>
                        <w:t xml:space="preserve"> here</w:t>
                      </w:r>
                      <w:r w:rsidRPr="008C18B6">
                        <w:rPr>
                          <w:rFonts w:ascii="Arial" w:hAnsi="Arial" w:cs="Arial"/>
                        </w:rPr>
                        <w:t xml:space="preserve"> are merely a starting point.</w:t>
                      </w:r>
                      <w:r>
                        <w:rPr>
                          <w:rFonts w:ascii="Arial" w:hAnsi="Arial" w:cs="Arial"/>
                        </w:rPr>
                        <w:t xml:space="preserve"> While they can be used as</w:t>
                      </w:r>
                      <w:r w:rsidR="00451DE3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is, </w:t>
                      </w:r>
                      <w:r w:rsidR="00C8341F">
                        <w:rPr>
                          <w:rFonts w:ascii="Arial" w:hAnsi="Arial" w:cs="Arial"/>
                        </w:rPr>
                        <w:t xml:space="preserve">they may need to be adapted to address specific course content or themes. </w:t>
                      </w:r>
                    </w:p>
                    <w:p w14:paraId="3017DBCD" w14:textId="77777777" w:rsidR="002B0372" w:rsidRPr="008C18B6" w:rsidRDefault="002B0372" w:rsidP="002B03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00349" w14:textId="6AD243BB" w:rsidR="002B0372" w:rsidRDefault="002B0372" w:rsidP="0005344B">
      <w:pPr>
        <w:spacing w:after="120" w:line="276" w:lineRule="auto"/>
        <w:rPr>
          <w:rFonts w:ascii="Arial" w:hAnsi="Arial" w:cs="Arial"/>
        </w:rPr>
      </w:pPr>
    </w:p>
    <w:p w14:paraId="7A334460" w14:textId="7D0BD1C9" w:rsidR="002B0372" w:rsidRDefault="002B0372" w:rsidP="0005344B">
      <w:pPr>
        <w:spacing w:after="120" w:line="276" w:lineRule="auto"/>
        <w:rPr>
          <w:rFonts w:ascii="Arial" w:hAnsi="Arial" w:cs="Arial"/>
        </w:rPr>
      </w:pPr>
    </w:p>
    <w:p w14:paraId="0D45BF4A" w14:textId="6F066E91" w:rsidR="002B0372" w:rsidRDefault="002B0372" w:rsidP="0005344B">
      <w:pPr>
        <w:spacing w:after="120" w:line="276" w:lineRule="auto"/>
        <w:rPr>
          <w:rFonts w:ascii="Arial" w:hAnsi="Arial" w:cs="Arial"/>
        </w:rPr>
      </w:pPr>
    </w:p>
    <w:p w14:paraId="0EDE7112" w14:textId="2DF8BD69" w:rsidR="00D33D99" w:rsidRPr="004630E8" w:rsidRDefault="0045399D" w:rsidP="0005344B">
      <w:pPr>
        <w:pStyle w:val="Heading1"/>
        <w:spacing w:after="120" w:line="276" w:lineRule="auto"/>
        <w:rPr>
          <w:rFonts w:ascii="Arial" w:hAnsi="Arial" w:cs="Arial"/>
          <w:color w:val="7A003C"/>
        </w:rPr>
      </w:pPr>
      <w:r w:rsidRPr="004630E8">
        <w:rPr>
          <w:rFonts w:ascii="Arial" w:hAnsi="Arial" w:cs="Arial"/>
          <w:color w:val="7A003C"/>
        </w:rPr>
        <w:t>References</w:t>
      </w:r>
    </w:p>
    <w:p w14:paraId="55998AE3" w14:textId="5363165C" w:rsidR="001F4F65" w:rsidRPr="00AA0FE2" w:rsidRDefault="001F4F65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  <w:proofErr w:type="spellStart"/>
      <w:r w:rsidRPr="00AA0FE2">
        <w:rPr>
          <w:rFonts w:ascii="Arial" w:hAnsi="Arial" w:cs="Arial"/>
        </w:rPr>
        <w:t>Hasselquist</w:t>
      </w:r>
      <w:proofErr w:type="spellEnd"/>
      <w:r w:rsidRPr="00AA0FE2">
        <w:rPr>
          <w:rFonts w:ascii="Arial" w:hAnsi="Arial" w:cs="Arial"/>
        </w:rPr>
        <w:t xml:space="preserve">, L. and </w:t>
      </w:r>
      <w:proofErr w:type="spellStart"/>
      <w:r w:rsidR="009B2638" w:rsidRPr="00AA0FE2">
        <w:rPr>
          <w:rFonts w:ascii="Arial" w:hAnsi="Arial" w:cs="Arial"/>
        </w:rPr>
        <w:t>Bertolini</w:t>
      </w:r>
      <w:proofErr w:type="spellEnd"/>
      <w:r w:rsidR="009B2638" w:rsidRPr="00AA0FE2">
        <w:rPr>
          <w:rFonts w:ascii="Arial" w:hAnsi="Arial" w:cs="Arial"/>
        </w:rPr>
        <w:t xml:space="preserve">, K. (2018). Developing effective rubrics. </w:t>
      </w:r>
      <w:r w:rsidR="009B2638" w:rsidRPr="00AA0FE2">
        <w:rPr>
          <w:rFonts w:ascii="Arial" w:hAnsi="Arial" w:cs="Arial"/>
          <w:i/>
          <w:iCs/>
        </w:rPr>
        <w:t>NACTA Journal</w:t>
      </w:r>
      <w:r w:rsidR="009B2638" w:rsidRPr="00AA0FE2">
        <w:rPr>
          <w:rFonts w:ascii="Arial" w:hAnsi="Arial" w:cs="Arial"/>
        </w:rPr>
        <w:t xml:space="preserve">, </w:t>
      </w:r>
      <w:r w:rsidR="00E13388" w:rsidRPr="00AA0FE2">
        <w:rPr>
          <w:rFonts w:ascii="Arial" w:hAnsi="Arial" w:cs="Arial"/>
        </w:rPr>
        <w:t>62(4), 379-380.</w:t>
      </w:r>
    </w:p>
    <w:p w14:paraId="72BE1079" w14:textId="16F6C6C8" w:rsidR="00E13388" w:rsidRPr="00AA0FE2" w:rsidRDefault="00E13388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</w:p>
    <w:p w14:paraId="579BCB0B" w14:textId="77777777" w:rsidR="00E56E20" w:rsidRPr="00AA0FE2" w:rsidRDefault="00E56E20" w:rsidP="004630E8">
      <w:pPr>
        <w:shd w:val="clear" w:color="auto" w:fill="FFFFFF"/>
        <w:spacing w:before="100" w:beforeAutospacing="1" w:after="0" w:line="240" w:lineRule="auto"/>
        <w:ind w:left="567" w:hanging="567"/>
        <w:contextualSpacing/>
        <w:rPr>
          <w:rFonts w:ascii="Arial" w:eastAsia="Times New Roman" w:hAnsi="Arial" w:cs="Arial"/>
          <w:lang w:eastAsia="en-CA"/>
        </w:rPr>
      </w:pPr>
      <w:proofErr w:type="spellStart"/>
      <w:r w:rsidRPr="00AA0FE2">
        <w:rPr>
          <w:rFonts w:ascii="Arial" w:eastAsia="Times New Roman" w:hAnsi="Arial" w:cs="Arial"/>
          <w:lang w:eastAsia="en-CA"/>
        </w:rPr>
        <w:t>Huba</w:t>
      </w:r>
      <w:proofErr w:type="spellEnd"/>
      <w:r w:rsidRPr="00AA0FE2">
        <w:rPr>
          <w:rFonts w:ascii="Arial" w:eastAsia="Times New Roman" w:hAnsi="Arial" w:cs="Arial"/>
          <w:lang w:eastAsia="en-CA"/>
        </w:rPr>
        <w:t>, M. E., &amp; Freed, J.E. (2000). Using rubrics to provide feedback to students. In </w:t>
      </w:r>
      <w:r w:rsidRPr="00AA0FE2">
        <w:rPr>
          <w:rFonts w:ascii="Arial" w:eastAsia="Times New Roman" w:hAnsi="Arial" w:cs="Arial"/>
          <w:i/>
          <w:iCs/>
          <w:lang w:eastAsia="en-CA"/>
        </w:rPr>
        <w:t>Learner-centered assessment on college campuses </w:t>
      </w:r>
      <w:r w:rsidRPr="00AA0FE2">
        <w:rPr>
          <w:rFonts w:ascii="Arial" w:eastAsia="Times New Roman" w:hAnsi="Arial" w:cs="Arial"/>
          <w:lang w:eastAsia="en-CA"/>
        </w:rPr>
        <w:t xml:space="preserve">(pp. 151-200). Boston: </w:t>
      </w:r>
      <w:proofErr w:type="spellStart"/>
      <w:r w:rsidRPr="00AA0FE2">
        <w:rPr>
          <w:rFonts w:ascii="Arial" w:eastAsia="Times New Roman" w:hAnsi="Arial" w:cs="Arial"/>
          <w:lang w:eastAsia="en-CA"/>
        </w:rPr>
        <w:t>Allyn</w:t>
      </w:r>
      <w:proofErr w:type="spellEnd"/>
      <w:r w:rsidRPr="00AA0FE2">
        <w:rPr>
          <w:rFonts w:ascii="Arial" w:eastAsia="Times New Roman" w:hAnsi="Arial" w:cs="Arial"/>
          <w:lang w:eastAsia="en-CA"/>
        </w:rPr>
        <w:t xml:space="preserve"> &amp; Bacon. </w:t>
      </w:r>
    </w:p>
    <w:p w14:paraId="1434B269" w14:textId="24E7C088" w:rsidR="00E56E20" w:rsidRPr="00AA0FE2" w:rsidRDefault="00E56E20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</w:p>
    <w:p w14:paraId="7678F38E" w14:textId="7E720AB7" w:rsidR="0045399D" w:rsidRPr="00AA0FE2" w:rsidRDefault="0045399D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  <w:r w:rsidRPr="00AA0FE2">
        <w:rPr>
          <w:rFonts w:ascii="Arial" w:hAnsi="Arial" w:cs="Arial"/>
        </w:rPr>
        <w:t xml:space="preserve">Kember, D., McKay, J., Sinclair, K., Kam, F., &amp; Wong, Y. (2008). A four-category scheme for coding and assessing the level of reflection in written work. </w:t>
      </w:r>
      <w:r w:rsidRPr="00AA0FE2">
        <w:rPr>
          <w:rFonts w:ascii="Arial" w:hAnsi="Arial" w:cs="Arial"/>
          <w:i/>
          <w:iCs/>
        </w:rPr>
        <w:t>Assessment &amp; Evaluation in Higher Education</w:t>
      </w:r>
      <w:r w:rsidRPr="00AA0FE2">
        <w:rPr>
          <w:rFonts w:ascii="Arial" w:hAnsi="Arial" w:cs="Arial"/>
        </w:rPr>
        <w:t>, 33(4), 369-379.</w:t>
      </w:r>
    </w:p>
    <w:p w14:paraId="1BF03CA8" w14:textId="77777777" w:rsidR="00A22A00" w:rsidRPr="00AA0FE2" w:rsidRDefault="00A22A00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</w:p>
    <w:p w14:paraId="760482A4" w14:textId="73D73064" w:rsidR="0045399D" w:rsidRPr="00AA0FE2" w:rsidRDefault="007D5953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  <w:r w:rsidRPr="00AA0FE2">
        <w:rPr>
          <w:rFonts w:ascii="Arial" w:hAnsi="Arial" w:cs="Arial"/>
        </w:rPr>
        <w:t>Kiely, R</w:t>
      </w:r>
      <w:r w:rsidR="004A2953" w:rsidRPr="00AA0FE2">
        <w:rPr>
          <w:rFonts w:ascii="Arial" w:hAnsi="Arial" w:cs="Arial"/>
        </w:rPr>
        <w:t xml:space="preserve">. (2017). </w:t>
      </w:r>
      <w:r w:rsidR="00A37D15" w:rsidRPr="00AA0FE2">
        <w:rPr>
          <w:rFonts w:ascii="Arial" w:hAnsi="Arial" w:cs="Arial"/>
        </w:rPr>
        <w:t>“</w:t>
      </w:r>
      <w:r w:rsidR="008B4FBC" w:rsidRPr="00AA0FE2">
        <w:rPr>
          <w:rFonts w:ascii="Arial" w:hAnsi="Arial" w:cs="Arial"/>
        </w:rPr>
        <w:t xml:space="preserve">Rubric for </w:t>
      </w:r>
      <w:proofErr w:type="gramStart"/>
      <w:r w:rsidR="008B4FBC" w:rsidRPr="00AA0FE2">
        <w:rPr>
          <w:rFonts w:ascii="Arial" w:hAnsi="Arial" w:cs="Arial"/>
        </w:rPr>
        <w:t>the what</w:t>
      </w:r>
      <w:proofErr w:type="gramEnd"/>
      <w:r w:rsidR="008B4FBC" w:rsidRPr="00AA0FE2">
        <w:rPr>
          <w:rFonts w:ascii="Arial" w:hAnsi="Arial" w:cs="Arial"/>
        </w:rPr>
        <w:t>? So what? Now what? Critical reflection framework.</w:t>
      </w:r>
      <w:r w:rsidR="00A37D15" w:rsidRPr="00AA0FE2">
        <w:rPr>
          <w:rFonts w:ascii="Arial" w:hAnsi="Arial" w:cs="Arial"/>
        </w:rPr>
        <w:t>” Office of Engagement Initiatives</w:t>
      </w:r>
      <w:r w:rsidR="00C34834" w:rsidRPr="00AA0FE2">
        <w:rPr>
          <w:rFonts w:ascii="Arial" w:hAnsi="Arial" w:cs="Arial"/>
        </w:rPr>
        <w:t xml:space="preserve">, Cornell University. </w:t>
      </w:r>
      <w:hyperlink r:id="rId10" w:history="1">
        <w:r w:rsidR="00C34834" w:rsidRPr="00AA0FE2">
          <w:rPr>
            <w:rStyle w:val="Hyperlink"/>
            <w:rFonts w:ascii="Arial" w:hAnsi="Arial" w:cs="Arial"/>
          </w:rPr>
          <w:t>https://usm.maine.edu/sites/default/files/service-learning-volunteering/Engaged%20Cornell%20Reflection%20Rubric.pdf</w:t>
        </w:r>
      </w:hyperlink>
      <w:r w:rsidR="00C34834" w:rsidRPr="00AA0FE2">
        <w:rPr>
          <w:rFonts w:ascii="Arial" w:hAnsi="Arial" w:cs="Arial"/>
        </w:rPr>
        <w:t xml:space="preserve"> </w:t>
      </w:r>
    </w:p>
    <w:p w14:paraId="2168626B" w14:textId="34535795" w:rsidR="004630E8" w:rsidRPr="00AA0FE2" w:rsidRDefault="004630E8" w:rsidP="004630E8">
      <w:pPr>
        <w:spacing w:after="0" w:line="240" w:lineRule="auto"/>
        <w:ind w:left="567" w:hanging="567"/>
        <w:contextualSpacing/>
        <w:rPr>
          <w:rFonts w:ascii="Arial" w:hAnsi="Arial" w:cs="Arial"/>
        </w:rPr>
      </w:pPr>
    </w:p>
    <w:p w14:paraId="4E330C46" w14:textId="77777777" w:rsidR="004630E8" w:rsidRPr="00AA0FE2" w:rsidRDefault="004630E8" w:rsidP="004630E8">
      <w:pPr>
        <w:shd w:val="clear" w:color="auto" w:fill="FFFFFF"/>
        <w:spacing w:before="100" w:beforeAutospacing="1" w:after="0" w:line="240" w:lineRule="auto"/>
        <w:ind w:left="567" w:hanging="567"/>
        <w:contextualSpacing/>
        <w:rPr>
          <w:rFonts w:ascii="Arial" w:eastAsia="Times New Roman" w:hAnsi="Arial" w:cs="Arial"/>
          <w:lang w:eastAsia="en-CA"/>
        </w:rPr>
      </w:pPr>
      <w:r w:rsidRPr="00AA0FE2">
        <w:rPr>
          <w:rFonts w:ascii="Arial" w:eastAsia="Times New Roman" w:hAnsi="Arial" w:cs="Arial"/>
          <w:lang w:eastAsia="en-CA"/>
        </w:rPr>
        <w:t>Stevens, D. &amp; Levi, A. (2013). Introduction to rubrics: An assessment tool to save grading time, convey effective feedback, and promote student learning (2</w:t>
      </w:r>
      <w:r w:rsidRPr="00AA0FE2">
        <w:rPr>
          <w:rFonts w:ascii="Arial" w:eastAsia="Times New Roman" w:hAnsi="Arial" w:cs="Arial"/>
          <w:vertAlign w:val="superscript"/>
          <w:lang w:eastAsia="en-CA"/>
        </w:rPr>
        <w:t>nd</w:t>
      </w:r>
      <w:r w:rsidRPr="00AA0FE2">
        <w:rPr>
          <w:rFonts w:ascii="Arial" w:eastAsia="Times New Roman" w:hAnsi="Arial" w:cs="Arial"/>
          <w:lang w:eastAsia="en-CA"/>
        </w:rPr>
        <w:t xml:space="preserve"> ed.). Virginia: </w:t>
      </w:r>
      <w:proofErr w:type="spellStart"/>
      <w:r w:rsidRPr="00AA0FE2">
        <w:rPr>
          <w:rFonts w:ascii="Arial" w:eastAsia="Times New Roman" w:hAnsi="Arial" w:cs="Arial"/>
          <w:lang w:eastAsia="en-CA"/>
        </w:rPr>
        <w:t>Sylus</w:t>
      </w:r>
      <w:proofErr w:type="spellEnd"/>
      <w:r w:rsidRPr="00AA0FE2">
        <w:rPr>
          <w:rFonts w:ascii="Arial" w:eastAsia="Times New Roman" w:hAnsi="Arial" w:cs="Arial"/>
          <w:lang w:eastAsia="en-CA"/>
        </w:rPr>
        <w:t>. </w:t>
      </w:r>
    </w:p>
    <w:p w14:paraId="2348546B" w14:textId="77777777" w:rsidR="004630E8" w:rsidRPr="00616ED5" w:rsidRDefault="004630E8" w:rsidP="00A22A00">
      <w:pPr>
        <w:spacing w:after="0" w:line="240" w:lineRule="auto"/>
        <w:ind w:left="567" w:hanging="567"/>
        <w:contextualSpacing/>
        <w:rPr>
          <w:rFonts w:ascii="Arial" w:hAnsi="Arial" w:cs="Arial"/>
        </w:rPr>
      </w:pPr>
    </w:p>
    <w:sectPr w:rsidR="004630E8" w:rsidRPr="00616ED5" w:rsidSect="007D1F79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AD"/>
    <w:multiLevelType w:val="hybridMultilevel"/>
    <w:tmpl w:val="3ECA1BA2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4EB6"/>
    <w:multiLevelType w:val="hybridMultilevel"/>
    <w:tmpl w:val="5B320314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001E5"/>
    <w:multiLevelType w:val="hybridMultilevel"/>
    <w:tmpl w:val="D43C7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1EA"/>
    <w:multiLevelType w:val="multilevel"/>
    <w:tmpl w:val="8F7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C242D"/>
    <w:multiLevelType w:val="hybridMultilevel"/>
    <w:tmpl w:val="AA2A9672"/>
    <w:lvl w:ilvl="0" w:tplc="8522F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21A"/>
    <w:multiLevelType w:val="multilevel"/>
    <w:tmpl w:val="738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E0F78"/>
    <w:multiLevelType w:val="multilevel"/>
    <w:tmpl w:val="36E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D67627"/>
    <w:multiLevelType w:val="multilevel"/>
    <w:tmpl w:val="F23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F3613B"/>
    <w:multiLevelType w:val="hybridMultilevel"/>
    <w:tmpl w:val="83722492"/>
    <w:lvl w:ilvl="0" w:tplc="DDAA6C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5533C"/>
    <w:multiLevelType w:val="hybridMultilevel"/>
    <w:tmpl w:val="D9DA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D2B"/>
    <w:multiLevelType w:val="multilevel"/>
    <w:tmpl w:val="112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15FF9"/>
    <w:multiLevelType w:val="hybridMultilevel"/>
    <w:tmpl w:val="5CFA6A0A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E9420D"/>
    <w:multiLevelType w:val="hybridMultilevel"/>
    <w:tmpl w:val="5ABEA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764DA"/>
    <w:multiLevelType w:val="hybridMultilevel"/>
    <w:tmpl w:val="BC768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CA7"/>
    <w:multiLevelType w:val="hybridMultilevel"/>
    <w:tmpl w:val="86EC9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775"/>
    <w:multiLevelType w:val="multilevel"/>
    <w:tmpl w:val="53A8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922B2"/>
    <w:multiLevelType w:val="hybridMultilevel"/>
    <w:tmpl w:val="D6344A84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5184"/>
    <w:multiLevelType w:val="hybridMultilevel"/>
    <w:tmpl w:val="7D94178C"/>
    <w:lvl w:ilvl="0" w:tplc="94A89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F03B7"/>
    <w:multiLevelType w:val="hybridMultilevel"/>
    <w:tmpl w:val="40042536"/>
    <w:lvl w:ilvl="0" w:tplc="FA542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C29F1"/>
    <w:multiLevelType w:val="hybridMultilevel"/>
    <w:tmpl w:val="637AA910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42767">
    <w:abstractNumId w:val="7"/>
  </w:num>
  <w:num w:numId="2" w16cid:durableId="930772633">
    <w:abstractNumId w:val="6"/>
  </w:num>
  <w:num w:numId="3" w16cid:durableId="303775537">
    <w:abstractNumId w:val="4"/>
  </w:num>
  <w:num w:numId="4" w16cid:durableId="870650701">
    <w:abstractNumId w:val="17"/>
  </w:num>
  <w:num w:numId="5" w16cid:durableId="672680163">
    <w:abstractNumId w:val="16"/>
  </w:num>
  <w:num w:numId="6" w16cid:durableId="1252085747">
    <w:abstractNumId w:val="0"/>
  </w:num>
  <w:num w:numId="7" w16cid:durableId="961426488">
    <w:abstractNumId w:val="1"/>
  </w:num>
  <w:num w:numId="8" w16cid:durableId="937713739">
    <w:abstractNumId w:val="19"/>
  </w:num>
  <w:num w:numId="9" w16cid:durableId="1744333132">
    <w:abstractNumId w:val="11"/>
  </w:num>
  <w:num w:numId="10" w16cid:durableId="252470283">
    <w:abstractNumId w:val="14"/>
  </w:num>
  <w:num w:numId="11" w16cid:durableId="749739417">
    <w:abstractNumId w:val="12"/>
  </w:num>
  <w:num w:numId="12" w16cid:durableId="1984458646">
    <w:abstractNumId w:val="9"/>
  </w:num>
  <w:num w:numId="13" w16cid:durableId="1992977155">
    <w:abstractNumId w:val="13"/>
  </w:num>
  <w:num w:numId="14" w16cid:durableId="2069255197">
    <w:abstractNumId w:val="10"/>
  </w:num>
  <w:num w:numId="15" w16cid:durableId="1627153717">
    <w:abstractNumId w:val="2"/>
  </w:num>
  <w:num w:numId="16" w16cid:durableId="559051370">
    <w:abstractNumId w:val="15"/>
  </w:num>
  <w:num w:numId="17" w16cid:durableId="1548764407">
    <w:abstractNumId w:val="8"/>
  </w:num>
  <w:num w:numId="18" w16cid:durableId="1244603747">
    <w:abstractNumId w:val="18"/>
  </w:num>
  <w:num w:numId="19" w16cid:durableId="2110927221">
    <w:abstractNumId w:val="5"/>
  </w:num>
  <w:num w:numId="20" w16cid:durableId="127298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9"/>
    <w:rsid w:val="0000280A"/>
    <w:rsid w:val="00010F7F"/>
    <w:rsid w:val="00013340"/>
    <w:rsid w:val="00013372"/>
    <w:rsid w:val="00013750"/>
    <w:rsid w:val="000157BB"/>
    <w:rsid w:val="000253DC"/>
    <w:rsid w:val="00026285"/>
    <w:rsid w:val="00026D2A"/>
    <w:rsid w:val="0002723E"/>
    <w:rsid w:val="0003148A"/>
    <w:rsid w:val="00034308"/>
    <w:rsid w:val="0003625C"/>
    <w:rsid w:val="00041943"/>
    <w:rsid w:val="0004479B"/>
    <w:rsid w:val="00046594"/>
    <w:rsid w:val="00051502"/>
    <w:rsid w:val="0005344B"/>
    <w:rsid w:val="000545FD"/>
    <w:rsid w:val="0006025A"/>
    <w:rsid w:val="00063070"/>
    <w:rsid w:val="00066CD1"/>
    <w:rsid w:val="000673BA"/>
    <w:rsid w:val="00070CA2"/>
    <w:rsid w:val="00077A44"/>
    <w:rsid w:val="00077AF1"/>
    <w:rsid w:val="00083AF8"/>
    <w:rsid w:val="0008539C"/>
    <w:rsid w:val="0008711B"/>
    <w:rsid w:val="000928D0"/>
    <w:rsid w:val="000A4C53"/>
    <w:rsid w:val="000A7127"/>
    <w:rsid w:val="000C79DF"/>
    <w:rsid w:val="000D230C"/>
    <w:rsid w:val="000D581E"/>
    <w:rsid w:val="000D6310"/>
    <w:rsid w:val="000E4B28"/>
    <w:rsid w:val="000E629C"/>
    <w:rsid w:val="000E7016"/>
    <w:rsid w:val="000F0791"/>
    <w:rsid w:val="000F1C3C"/>
    <w:rsid w:val="000F5639"/>
    <w:rsid w:val="00101B55"/>
    <w:rsid w:val="001123BF"/>
    <w:rsid w:val="00112DF7"/>
    <w:rsid w:val="00113820"/>
    <w:rsid w:val="00124F84"/>
    <w:rsid w:val="00132450"/>
    <w:rsid w:val="00143E33"/>
    <w:rsid w:val="00143F41"/>
    <w:rsid w:val="00144B67"/>
    <w:rsid w:val="0014720E"/>
    <w:rsid w:val="001530D1"/>
    <w:rsid w:val="00153E08"/>
    <w:rsid w:val="0015463F"/>
    <w:rsid w:val="00157867"/>
    <w:rsid w:val="00157B52"/>
    <w:rsid w:val="001622E9"/>
    <w:rsid w:val="00163EF2"/>
    <w:rsid w:val="001712DE"/>
    <w:rsid w:val="00174485"/>
    <w:rsid w:val="00174E5E"/>
    <w:rsid w:val="00175365"/>
    <w:rsid w:val="00180CB0"/>
    <w:rsid w:val="00185426"/>
    <w:rsid w:val="001A1086"/>
    <w:rsid w:val="001A19DB"/>
    <w:rsid w:val="001B67D7"/>
    <w:rsid w:val="001C486B"/>
    <w:rsid w:val="001D2C00"/>
    <w:rsid w:val="001D6F2C"/>
    <w:rsid w:val="001E240C"/>
    <w:rsid w:val="001E3E1B"/>
    <w:rsid w:val="001F4F65"/>
    <w:rsid w:val="001F5BC3"/>
    <w:rsid w:val="00206822"/>
    <w:rsid w:val="002073AF"/>
    <w:rsid w:val="0021030E"/>
    <w:rsid w:val="002114FF"/>
    <w:rsid w:val="00216190"/>
    <w:rsid w:val="0022433A"/>
    <w:rsid w:val="00224644"/>
    <w:rsid w:val="00225384"/>
    <w:rsid w:val="00225F5B"/>
    <w:rsid w:val="00236294"/>
    <w:rsid w:val="00236ACE"/>
    <w:rsid w:val="00241FD1"/>
    <w:rsid w:val="00246237"/>
    <w:rsid w:val="00253D9F"/>
    <w:rsid w:val="002542D1"/>
    <w:rsid w:val="00255DD4"/>
    <w:rsid w:val="0025691F"/>
    <w:rsid w:val="00257283"/>
    <w:rsid w:val="002574A2"/>
    <w:rsid w:val="00266BC1"/>
    <w:rsid w:val="002753F1"/>
    <w:rsid w:val="00275E09"/>
    <w:rsid w:val="002773DE"/>
    <w:rsid w:val="00292A16"/>
    <w:rsid w:val="00296CBB"/>
    <w:rsid w:val="002A086E"/>
    <w:rsid w:val="002A280D"/>
    <w:rsid w:val="002A2D5A"/>
    <w:rsid w:val="002A5A4B"/>
    <w:rsid w:val="002B0372"/>
    <w:rsid w:val="002B4F75"/>
    <w:rsid w:val="002C0057"/>
    <w:rsid w:val="002C6682"/>
    <w:rsid w:val="002C7D58"/>
    <w:rsid w:val="002D356F"/>
    <w:rsid w:val="002E170C"/>
    <w:rsid w:val="002E4E2E"/>
    <w:rsid w:val="002E7A73"/>
    <w:rsid w:val="002F376B"/>
    <w:rsid w:val="002F5DA6"/>
    <w:rsid w:val="002F7373"/>
    <w:rsid w:val="00304572"/>
    <w:rsid w:val="00306F28"/>
    <w:rsid w:val="0030740E"/>
    <w:rsid w:val="00313E53"/>
    <w:rsid w:val="003152C4"/>
    <w:rsid w:val="00317570"/>
    <w:rsid w:val="003240AA"/>
    <w:rsid w:val="00327126"/>
    <w:rsid w:val="00340DC1"/>
    <w:rsid w:val="00346564"/>
    <w:rsid w:val="00357DBE"/>
    <w:rsid w:val="00360869"/>
    <w:rsid w:val="00360C68"/>
    <w:rsid w:val="00360CBF"/>
    <w:rsid w:val="00365D37"/>
    <w:rsid w:val="00373DAE"/>
    <w:rsid w:val="00381A50"/>
    <w:rsid w:val="003876DA"/>
    <w:rsid w:val="003A0D53"/>
    <w:rsid w:val="003A29B5"/>
    <w:rsid w:val="003A3B2D"/>
    <w:rsid w:val="003A4926"/>
    <w:rsid w:val="003A6BD0"/>
    <w:rsid w:val="003B5DA2"/>
    <w:rsid w:val="003C4711"/>
    <w:rsid w:val="003C4B9D"/>
    <w:rsid w:val="003C661F"/>
    <w:rsid w:val="003D2685"/>
    <w:rsid w:val="003D2987"/>
    <w:rsid w:val="003D46DC"/>
    <w:rsid w:val="003D7B3B"/>
    <w:rsid w:val="003E1068"/>
    <w:rsid w:val="003E4568"/>
    <w:rsid w:val="003E46BA"/>
    <w:rsid w:val="003E53FB"/>
    <w:rsid w:val="003E7229"/>
    <w:rsid w:val="003F4E7C"/>
    <w:rsid w:val="003F5914"/>
    <w:rsid w:val="00407A72"/>
    <w:rsid w:val="004119D8"/>
    <w:rsid w:val="004128FC"/>
    <w:rsid w:val="0041437C"/>
    <w:rsid w:val="00415D01"/>
    <w:rsid w:val="00421C63"/>
    <w:rsid w:val="00433BC3"/>
    <w:rsid w:val="0043718D"/>
    <w:rsid w:val="004448AD"/>
    <w:rsid w:val="00444BDB"/>
    <w:rsid w:val="00446E1E"/>
    <w:rsid w:val="00451DE3"/>
    <w:rsid w:val="0045399D"/>
    <w:rsid w:val="00461C35"/>
    <w:rsid w:val="00462792"/>
    <w:rsid w:val="004630E8"/>
    <w:rsid w:val="004631D1"/>
    <w:rsid w:val="0046349D"/>
    <w:rsid w:val="0046421F"/>
    <w:rsid w:val="004667F6"/>
    <w:rsid w:val="00467106"/>
    <w:rsid w:val="0047444C"/>
    <w:rsid w:val="00477D9A"/>
    <w:rsid w:val="00485290"/>
    <w:rsid w:val="004908DA"/>
    <w:rsid w:val="004918B7"/>
    <w:rsid w:val="00491B12"/>
    <w:rsid w:val="00492390"/>
    <w:rsid w:val="0049624F"/>
    <w:rsid w:val="00497E39"/>
    <w:rsid w:val="004A1BD3"/>
    <w:rsid w:val="004A2953"/>
    <w:rsid w:val="004B5011"/>
    <w:rsid w:val="004B77E9"/>
    <w:rsid w:val="004B77ED"/>
    <w:rsid w:val="004C0230"/>
    <w:rsid w:val="004C1AC5"/>
    <w:rsid w:val="004C2EEA"/>
    <w:rsid w:val="004D3D68"/>
    <w:rsid w:val="004D4DD2"/>
    <w:rsid w:val="004D5011"/>
    <w:rsid w:val="004D5D0B"/>
    <w:rsid w:val="004D7638"/>
    <w:rsid w:val="004E4818"/>
    <w:rsid w:val="004E53B5"/>
    <w:rsid w:val="004F0F6E"/>
    <w:rsid w:val="004F148D"/>
    <w:rsid w:val="004F149B"/>
    <w:rsid w:val="004F4893"/>
    <w:rsid w:val="00500634"/>
    <w:rsid w:val="00507106"/>
    <w:rsid w:val="0051047D"/>
    <w:rsid w:val="00524A22"/>
    <w:rsid w:val="00524F1C"/>
    <w:rsid w:val="005332CB"/>
    <w:rsid w:val="00540FCC"/>
    <w:rsid w:val="00541BA4"/>
    <w:rsid w:val="005423C3"/>
    <w:rsid w:val="00546FD3"/>
    <w:rsid w:val="00550DEB"/>
    <w:rsid w:val="0055775B"/>
    <w:rsid w:val="005579B3"/>
    <w:rsid w:val="00562ACC"/>
    <w:rsid w:val="00572C9C"/>
    <w:rsid w:val="00582432"/>
    <w:rsid w:val="0058386D"/>
    <w:rsid w:val="0059191D"/>
    <w:rsid w:val="00591BFD"/>
    <w:rsid w:val="00595AE6"/>
    <w:rsid w:val="005960BA"/>
    <w:rsid w:val="005A0732"/>
    <w:rsid w:val="005A792F"/>
    <w:rsid w:val="005C0F29"/>
    <w:rsid w:val="005D41C0"/>
    <w:rsid w:val="005E106D"/>
    <w:rsid w:val="005E5C33"/>
    <w:rsid w:val="005F0349"/>
    <w:rsid w:val="00602736"/>
    <w:rsid w:val="006038DF"/>
    <w:rsid w:val="00607368"/>
    <w:rsid w:val="00610522"/>
    <w:rsid w:val="00616ED5"/>
    <w:rsid w:val="0061787F"/>
    <w:rsid w:val="00622BDC"/>
    <w:rsid w:val="00645C82"/>
    <w:rsid w:val="00650203"/>
    <w:rsid w:val="006538C3"/>
    <w:rsid w:val="00674A43"/>
    <w:rsid w:val="006818BF"/>
    <w:rsid w:val="00684735"/>
    <w:rsid w:val="00692033"/>
    <w:rsid w:val="00696F85"/>
    <w:rsid w:val="006A644A"/>
    <w:rsid w:val="006B039B"/>
    <w:rsid w:val="006B7D42"/>
    <w:rsid w:val="006C1100"/>
    <w:rsid w:val="006C5555"/>
    <w:rsid w:val="006D1A1D"/>
    <w:rsid w:val="006D5E0C"/>
    <w:rsid w:val="006E0868"/>
    <w:rsid w:val="006E76C1"/>
    <w:rsid w:val="006F0448"/>
    <w:rsid w:val="006F2DCE"/>
    <w:rsid w:val="006F73A5"/>
    <w:rsid w:val="007017B3"/>
    <w:rsid w:val="00703744"/>
    <w:rsid w:val="00706734"/>
    <w:rsid w:val="007111EE"/>
    <w:rsid w:val="0071255F"/>
    <w:rsid w:val="0071370E"/>
    <w:rsid w:val="00722576"/>
    <w:rsid w:val="00731219"/>
    <w:rsid w:val="00743090"/>
    <w:rsid w:val="00747AA9"/>
    <w:rsid w:val="00753F8A"/>
    <w:rsid w:val="00754356"/>
    <w:rsid w:val="00755AF5"/>
    <w:rsid w:val="007573BF"/>
    <w:rsid w:val="00770A17"/>
    <w:rsid w:val="007724EB"/>
    <w:rsid w:val="00777239"/>
    <w:rsid w:val="00782926"/>
    <w:rsid w:val="00786D9D"/>
    <w:rsid w:val="0078724E"/>
    <w:rsid w:val="0079149C"/>
    <w:rsid w:val="007939E7"/>
    <w:rsid w:val="0079757E"/>
    <w:rsid w:val="00797A07"/>
    <w:rsid w:val="007A5709"/>
    <w:rsid w:val="007A6FDD"/>
    <w:rsid w:val="007B160D"/>
    <w:rsid w:val="007B272F"/>
    <w:rsid w:val="007B2E3A"/>
    <w:rsid w:val="007B5E47"/>
    <w:rsid w:val="007B788B"/>
    <w:rsid w:val="007C0340"/>
    <w:rsid w:val="007C19F7"/>
    <w:rsid w:val="007D04B4"/>
    <w:rsid w:val="007D1F79"/>
    <w:rsid w:val="007D5953"/>
    <w:rsid w:val="007D727F"/>
    <w:rsid w:val="007F17EF"/>
    <w:rsid w:val="00801038"/>
    <w:rsid w:val="008136FA"/>
    <w:rsid w:val="008150D9"/>
    <w:rsid w:val="00821670"/>
    <w:rsid w:val="0083127D"/>
    <w:rsid w:val="00832B55"/>
    <w:rsid w:val="00843AB4"/>
    <w:rsid w:val="00850762"/>
    <w:rsid w:val="008540EE"/>
    <w:rsid w:val="008617A6"/>
    <w:rsid w:val="00863124"/>
    <w:rsid w:val="00863915"/>
    <w:rsid w:val="0086596A"/>
    <w:rsid w:val="0087217E"/>
    <w:rsid w:val="00897123"/>
    <w:rsid w:val="008A6230"/>
    <w:rsid w:val="008B4FBC"/>
    <w:rsid w:val="008B570D"/>
    <w:rsid w:val="008C0CB0"/>
    <w:rsid w:val="008C18B6"/>
    <w:rsid w:val="008C446C"/>
    <w:rsid w:val="008D400C"/>
    <w:rsid w:val="008D5FCA"/>
    <w:rsid w:val="008E3245"/>
    <w:rsid w:val="008E7444"/>
    <w:rsid w:val="008F284E"/>
    <w:rsid w:val="008F595D"/>
    <w:rsid w:val="008F7AF5"/>
    <w:rsid w:val="0090020F"/>
    <w:rsid w:val="00901238"/>
    <w:rsid w:val="00902058"/>
    <w:rsid w:val="009052AF"/>
    <w:rsid w:val="00925C46"/>
    <w:rsid w:val="00932F00"/>
    <w:rsid w:val="00941319"/>
    <w:rsid w:val="00945EB5"/>
    <w:rsid w:val="00950C0A"/>
    <w:rsid w:val="009520A9"/>
    <w:rsid w:val="00953EAF"/>
    <w:rsid w:val="009566A7"/>
    <w:rsid w:val="0096097A"/>
    <w:rsid w:val="00963EB0"/>
    <w:rsid w:val="009654AF"/>
    <w:rsid w:val="009671D3"/>
    <w:rsid w:val="00980807"/>
    <w:rsid w:val="00983E00"/>
    <w:rsid w:val="009843F5"/>
    <w:rsid w:val="00986593"/>
    <w:rsid w:val="00991DDE"/>
    <w:rsid w:val="009B2638"/>
    <w:rsid w:val="009B3456"/>
    <w:rsid w:val="009C3EAC"/>
    <w:rsid w:val="009E3607"/>
    <w:rsid w:val="009E3C0C"/>
    <w:rsid w:val="009F1334"/>
    <w:rsid w:val="009F1F49"/>
    <w:rsid w:val="00A069E1"/>
    <w:rsid w:val="00A07EB0"/>
    <w:rsid w:val="00A1014E"/>
    <w:rsid w:val="00A10740"/>
    <w:rsid w:val="00A13E6E"/>
    <w:rsid w:val="00A13F99"/>
    <w:rsid w:val="00A21E89"/>
    <w:rsid w:val="00A22A00"/>
    <w:rsid w:val="00A23B62"/>
    <w:rsid w:val="00A2668B"/>
    <w:rsid w:val="00A37D15"/>
    <w:rsid w:val="00A52086"/>
    <w:rsid w:val="00A66DE8"/>
    <w:rsid w:val="00A721EF"/>
    <w:rsid w:val="00A72D6E"/>
    <w:rsid w:val="00A74D99"/>
    <w:rsid w:val="00A80348"/>
    <w:rsid w:val="00A8621A"/>
    <w:rsid w:val="00A86FEE"/>
    <w:rsid w:val="00A87041"/>
    <w:rsid w:val="00A93C4A"/>
    <w:rsid w:val="00A956E8"/>
    <w:rsid w:val="00A95DC6"/>
    <w:rsid w:val="00AA0FE2"/>
    <w:rsid w:val="00AA46CD"/>
    <w:rsid w:val="00AB2BBD"/>
    <w:rsid w:val="00AB49AB"/>
    <w:rsid w:val="00AB5F81"/>
    <w:rsid w:val="00AB77B1"/>
    <w:rsid w:val="00AD5DDC"/>
    <w:rsid w:val="00AF1250"/>
    <w:rsid w:val="00AF1AA1"/>
    <w:rsid w:val="00B02BE2"/>
    <w:rsid w:val="00B050F5"/>
    <w:rsid w:val="00B1004D"/>
    <w:rsid w:val="00B1337D"/>
    <w:rsid w:val="00B15278"/>
    <w:rsid w:val="00B2115D"/>
    <w:rsid w:val="00B22EB9"/>
    <w:rsid w:val="00B253AB"/>
    <w:rsid w:val="00B2791B"/>
    <w:rsid w:val="00B302A6"/>
    <w:rsid w:val="00B312FC"/>
    <w:rsid w:val="00B376DD"/>
    <w:rsid w:val="00B4795A"/>
    <w:rsid w:val="00B5250B"/>
    <w:rsid w:val="00B61708"/>
    <w:rsid w:val="00B67867"/>
    <w:rsid w:val="00B70208"/>
    <w:rsid w:val="00B77233"/>
    <w:rsid w:val="00B8694E"/>
    <w:rsid w:val="00B87480"/>
    <w:rsid w:val="00B97B40"/>
    <w:rsid w:val="00BA1A47"/>
    <w:rsid w:val="00BA75F0"/>
    <w:rsid w:val="00BB5A57"/>
    <w:rsid w:val="00BC1A5D"/>
    <w:rsid w:val="00BC5E1D"/>
    <w:rsid w:val="00BD4115"/>
    <w:rsid w:val="00BD72D6"/>
    <w:rsid w:val="00BE0C17"/>
    <w:rsid w:val="00BE198A"/>
    <w:rsid w:val="00BE3549"/>
    <w:rsid w:val="00BE61A4"/>
    <w:rsid w:val="00BF3F28"/>
    <w:rsid w:val="00BF5042"/>
    <w:rsid w:val="00BF6667"/>
    <w:rsid w:val="00C00D9C"/>
    <w:rsid w:val="00C10D45"/>
    <w:rsid w:val="00C243B1"/>
    <w:rsid w:val="00C25D49"/>
    <w:rsid w:val="00C34834"/>
    <w:rsid w:val="00C3591B"/>
    <w:rsid w:val="00C36FBE"/>
    <w:rsid w:val="00C41C2C"/>
    <w:rsid w:val="00C422AA"/>
    <w:rsid w:val="00C4301B"/>
    <w:rsid w:val="00C45B25"/>
    <w:rsid w:val="00C514C2"/>
    <w:rsid w:val="00C528D5"/>
    <w:rsid w:val="00C56C30"/>
    <w:rsid w:val="00C66973"/>
    <w:rsid w:val="00C70EA7"/>
    <w:rsid w:val="00C72FA0"/>
    <w:rsid w:val="00C8308B"/>
    <w:rsid w:val="00C8341F"/>
    <w:rsid w:val="00C870A9"/>
    <w:rsid w:val="00C92E5F"/>
    <w:rsid w:val="00C97A89"/>
    <w:rsid w:val="00C97AF6"/>
    <w:rsid w:val="00CA1393"/>
    <w:rsid w:val="00CA18B0"/>
    <w:rsid w:val="00CA284D"/>
    <w:rsid w:val="00CA49AC"/>
    <w:rsid w:val="00CA4D62"/>
    <w:rsid w:val="00CA60F0"/>
    <w:rsid w:val="00CB068C"/>
    <w:rsid w:val="00CB2C4D"/>
    <w:rsid w:val="00CB3EFC"/>
    <w:rsid w:val="00CD13E2"/>
    <w:rsid w:val="00CD4292"/>
    <w:rsid w:val="00CF3607"/>
    <w:rsid w:val="00D05CF9"/>
    <w:rsid w:val="00D116BB"/>
    <w:rsid w:val="00D15BA7"/>
    <w:rsid w:val="00D245B0"/>
    <w:rsid w:val="00D33D99"/>
    <w:rsid w:val="00D34BB5"/>
    <w:rsid w:val="00D36723"/>
    <w:rsid w:val="00D45533"/>
    <w:rsid w:val="00D461A9"/>
    <w:rsid w:val="00D52D65"/>
    <w:rsid w:val="00D61125"/>
    <w:rsid w:val="00D61DC3"/>
    <w:rsid w:val="00D770E1"/>
    <w:rsid w:val="00D90C7E"/>
    <w:rsid w:val="00D92FF0"/>
    <w:rsid w:val="00D9665C"/>
    <w:rsid w:val="00D97419"/>
    <w:rsid w:val="00DA0B7F"/>
    <w:rsid w:val="00DA15A8"/>
    <w:rsid w:val="00DA2459"/>
    <w:rsid w:val="00DC787F"/>
    <w:rsid w:val="00DD0D77"/>
    <w:rsid w:val="00DD2DF4"/>
    <w:rsid w:val="00DD4B3B"/>
    <w:rsid w:val="00DE085B"/>
    <w:rsid w:val="00DE12BB"/>
    <w:rsid w:val="00DE20D1"/>
    <w:rsid w:val="00DF2463"/>
    <w:rsid w:val="00DF38FE"/>
    <w:rsid w:val="00DF4677"/>
    <w:rsid w:val="00DF6BF3"/>
    <w:rsid w:val="00E02ABF"/>
    <w:rsid w:val="00E13388"/>
    <w:rsid w:val="00E1415A"/>
    <w:rsid w:val="00E1452C"/>
    <w:rsid w:val="00E23C44"/>
    <w:rsid w:val="00E30BB8"/>
    <w:rsid w:val="00E31EA0"/>
    <w:rsid w:val="00E35730"/>
    <w:rsid w:val="00E36E5A"/>
    <w:rsid w:val="00E55B24"/>
    <w:rsid w:val="00E56E20"/>
    <w:rsid w:val="00E6024F"/>
    <w:rsid w:val="00E71E9E"/>
    <w:rsid w:val="00E71FA0"/>
    <w:rsid w:val="00E74416"/>
    <w:rsid w:val="00E7454D"/>
    <w:rsid w:val="00E74DE4"/>
    <w:rsid w:val="00E76B6B"/>
    <w:rsid w:val="00E77488"/>
    <w:rsid w:val="00E7787A"/>
    <w:rsid w:val="00E81537"/>
    <w:rsid w:val="00E83E24"/>
    <w:rsid w:val="00E84CA8"/>
    <w:rsid w:val="00E85B55"/>
    <w:rsid w:val="00E8778D"/>
    <w:rsid w:val="00E92BE2"/>
    <w:rsid w:val="00EB34B2"/>
    <w:rsid w:val="00EC6261"/>
    <w:rsid w:val="00ED0F4B"/>
    <w:rsid w:val="00ED11EE"/>
    <w:rsid w:val="00EE3DA8"/>
    <w:rsid w:val="00F1054C"/>
    <w:rsid w:val="00F11EB3"/>
    <w:rsid w:val="00F37D98"/>
    <w:rsid w:val="00F40470"/>
    <w:rsid w:val="00F450BD"/>
    <w:rsid w:val="00F47479"/>
    <w:rsid w:val="00F52B9A"/>
    <w:rsid w:val="00F53353"/>
    <w:rsid w:val="00F545EE"/>
    <w:rsid w:val="00F56523"/>
    <w:rsid w:val="00F671B8"/>
    <w:rsid w:val="00F732FA"/>
    <w:rsid w:val="00F73B9B"/>
    <w:rsid w:val="00F753B9"/>
    <w:rsid w:val="00F83DF1"/>
    <w:rsid w:val="00F8577C"/>
    <w:rsid w:val="00FA3A24"/>
    <w:rsid w:val="00FB1F49"/>
    <w:rsid w:val="00FB388D"/>
    <w:rsid w:val="00FB7A22"/>
    <w:rsid w:val="00FB7A54"/>
    <w:rsid w:val="00FD1DC8"/>
    <w:rsid w:val="00FD3A46"/>
    <w:rsid w:val="00FD54B2"/>
    <w:rsid w:val="00FE5CBA"/>
    <w:rsid w:val="00FF6B1B"/>
    <w:rsid w:val="0A95296C"/>
    <w:rsid w:val="3AA96996"/>
    <w:rsid w:val="51499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BEA"/>
  <w15:chartTrackingRefBased/>
  <w15:docId w15:val="{0889902B-5359-4CF3-BCA6-C934B7B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21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073AF"/>
  </w:style>
  <w:style w:type="character" w:customStyle="1" w:styleId="eop">
    <w:name w:val="eop"/>
    <w:basedOn w:val="DefaultParagraphFont"/>
    <w:rsid w:val="002073AF"/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1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D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617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A15A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F4E7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.maine.edu/sites/default/files/service-learning-volunteering/Engaged%20Cornell%20Reflection%20Rubr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masteru365-my.sharepoint.com/:w:/g/personal/whitwese_mcmaster_ca/EZeonGeW7CpCgRIqp2YNnWYBF1perymrHbO-A9VKjHiYHw?e=Z2Qog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wese@mcmaster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m.maine.edu/sites/default/files/service-learning-volunteering/Engaged%20Cornell%20Reflection%20Rubr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masteru365-my.sharepoint.com/:w:/g/personal/whitwese_mcmaster_ca/ETRZe9bVYNdJpZrQeogDVvkB3H9G6AGHuiZwixXC10wXmw?e=NsYb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Whitwell, Sarah</dc:creator>
  <cp:keywords/>
  <dc:description/>
  <cp:lastModifiedBy>Whitwell, Sarah</cp:lastModifiedBy>
  <cp:revision>158</cp:revision>
  <dcterms:created xsi:type="dcterms:W3CDTF">2022-11-07T16:06:00Z</dcterms:created>
  <dcterms:modified xsi:type="dcterms:W3CDTF">2022-11-09T14:58:00Z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df0f9b0e0354983fedfb280cd39001cdb71abe51cefa1ae3281daa6c38b4da10</vt:lpwstr>
  </property>
</Properties>
</file>